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Подведения итогов процедуры </w:t>
      </w:r>
      <w:r>
        <w:rPr>
          <w:rFonts w:ascii="Times New Roman" w:hAnsi="Times New Roman" w:cs="Times New Roman"/>
          <w:b/>
          <w:bCs/>
          <w:kern w:val="0"/>
        </w:rPr>
        <w:br/>
        <w:t>22000183450000000446,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«09» апреля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Проведение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Предмета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>Здание, назначение: нежилое, площадь 255,8 кв.м., кадастровый номер 45:08:040226:</w:t>
      </w:r>
      <w:proofErr w:type="gramStart"/>
      <w:r>
        <w:rPr>
          <w:rFonts w:ascii="Times New Roman" w:hAnsi="Times New Roman" w:cs="Times New Roman"/>
          <w:kern w:val="0"/>
        </w:rPr>
        <w:t>80,в</w:t>
      </w:r>
      <w:proofErr w:type="gramEnd"/>
      <w:r>
        <w:rPr>
          <w:rFonts w:ascii="Times New Roman" w:hAnsi="Times New Roman" w:cs="Times New Roman"/>
          <w:kern w:val="0"/>
        </w:rPr>
        <w:t xml:space="preserve"> комплексе с земельным участком, площадь 1180 кв.м., кадастровый номер 45:08:040226:28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3. Начальная цена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1 430 000,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Извещение и документация о проведении настоящей процедуры были размещены «14» марта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Процедура 22000183450000000446, лот №1 признана несостоявшейся, так как до окончания приема заявок не было подано ни одной заявки на участие.</w:t>
      </w:r>
    </w:p>
    <w:p w:rsidR="00A773A7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sectPr w:rsidR="00A773A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3B"/>
    <w:rsid w:val="00A773A7"/>
    <w:rsid w:val="00BB09FC"/>
    <w:rsid w:val="00EA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15C8F7-23BA-4C75-B17A-F26B6ADA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2025-04-09T02:54:00Z</cp:lastPrinted>
  <dcterms:created xsi:type="dcterms:W3CDTF">2025-04-09T02:54:00Z</dcterms:created>
  <dcterms:modified xsi:type="dcterms:W3CDTF">2025-04-09T02:54:00Z</dcterms:modified>
</cp:coreProperties>
</file>