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  <w:gridCol w:w="9923"/>
      </w:tblGrid>
      <w:tr w:rsidR="0048756E">
        <w:tblPrEx>
          <w:tblCellMar>
            <w:top w:w="0" w:type="dxa"/>
            <w:bottom w:w="0" w:type="dxa"/>
          </w:tblCellMar>
        </w:tblPrEx>
        <w:tc>
          <w:tcPr>
            <w:tcW w:w="99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56E" w:rsidRDefault="005246F9">
            <w:pPr>
              <w:pStyle w:val="Standard"/>
              <w:spacing w:line="251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РОССИЙСКАЯ ФЕДЕРАЦИЯ</w:t>
            </w:r>
          </w:p>
          <w:p w:rsidR="0048756E" w:rsidRDefault="005246F9">
            <w:pPr>
              <w:pStyle w:val="Standard"/>
              <w:spacing w:line="251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КУРГАНСКАЯ ОБЛАСТЬ</w:t>
            </w:r>
          </w:p>
          <w:p w:rsidR="0048756E" w:rsidRDefault="005246F9">
            <w:pPr>
              <w:pStyle w:val="Standard"/>
              <w:spacing w:line="251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АДМИНИСТРАЦИЯ КЕТОВСКОГО МУНИЦИПАЛЬНОГО ОКРУГА</w:t>
            </w:r>
          </w:p>
          <w:p w:rsidR="0048756E" w:rsidRDefault="0048756E">
            <w:pPr>
              <w:pStyle w:val="Standard"/>
              <w:spacing w:line="251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48756E" w:rsidRDefault="005246F9">
            <w:pPr>
              <w:pStyle w:val="Standard"/>
              <w:spacing w:line="251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ПОСТАНОВЛЕНИЕ</w:t>
            </w:r>
          </w:p>
        </w:tc>
        <w:tc>
          <w:tcPr>
            <w:tcW w:w="99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56E" w:rsidRDefault="0048756E">
            <w:pPr>
              <w:pStyle w:val="Standard"/>
              <w:keepNext/>
              <w:tabs>
                <w:tab w:val="left" w:pos="0"/>
              </w:tabs>
              <w:spacing w:line="100" w:lineRule="atLeast"/>
              <w:jc w:val="center"/>
              <w:outlineLvl w:val="2"/>
              <w:rPr>
                <w:rFonts w:ascii="Arial" w:hAnsi="Arial"/>
                <w:b/>
                <w:sz w:val="36"/>
                <w:lang w:eastAsia="ar-SA"/>
              </w:rPr>
            </w:pPr>
          </w:p>
        </w:tc>
      </w:tr>
      <w:tr w:rsidR="0048756E">
        <w:tblPrEx>
          <w:tblCellMar>
            <w:top w:w="0" w:type="dxa"/>
            <w:bottom w:w="0" w:type="dxa"/>
          </w:tblCellMar>
        </w:tblPrEx>
        <w:tc>
          <w:tcPr>
            <w:tcW w:w="1984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56E" w:rsidRDefault="0048756E">
            <w:pPr>
              <w:pStyle w:val="Standard"/>
              <w:spacing w:line="251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48756E">
        <w:tblPrEx>
          <w:tblCellMar>
            <w:top w:w="0" w:type="dxa"/>
            <w:bottom w:w="0" w:type="dxa"/>
          </w:tblCellMar>
        </w:tblPrEx>
        <w:tc>
          <w:tcPr>
            <w:tcW w:w="1984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56E" w:rsidRDefault="0048756E">
            <w:pPr>
              <w:pStyle w:val="Standard"/>
              <w:rPr>
                <w:sz w:val="24"/>
                <w:szCs w:val="24"/>
              </w:rPr>
            </w:pPr>
          </w:p>
          <w:p w:rsidR="0048756E" w:rsidRDefault="005246F9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 мая 2025 г. № 1539</w:t>
            </w:r>
          </w:p>
          <w:p w:rsidR="0048756E" w:rsidRDefault="005246F9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с. </w:t>
            </w:r>
            <w:proofErr w:type="spellStart"/>
            <w:r>
              <w:rPr>
                <w:sz w:val="24"/>
                <w:szCs w:val="24"/>
              </w:rPr>
              <w:t>Кетово</w:t>
            </w:r>
            <w:proofErr w:type="spellEnd"/>
          </w:p>
        </w:tc>
      </w:tr>
    </w:tbl>
    <w:p w:rsidR="0048756E" w:rsidRDefault="0048756E">
      <w:pPr>
        <w:pStyle w:val="Standard"/>
        <w:rPr>
          <w:sz w:val="24"/>
          <w:szCs w:val="24"/>
        </w:rPr>
      </w:pPr>
    </w:p>
    <w:p w:rsidR="0048756E" w:rsidRDefault="0048756E">
      <w:pPr>
        <w:pStyle w:val="Standard"/>
        <w:jc w:val="center"/>
        <w:rPr>
          <w:b/>
          <w:sz w:val="24"/>
          <w:szCs w:val="24"/>
        </w:rPr>
      </w:pPr>
      <w:bookmarkStart w:id="1" w:name="Bookmark"/>
      <w:bookmarkEnd w:id="1"/>
    </w:p>
    <w:p w:rsidR="0048756E" w:rsidRDefault="005246F9">
      <w:pPr>
        <w:pStyle w:val="Standard"/>
        <w:jc w:val="center"/>
      </w:pPr>
      <w:r>
        <w:rPr>
          <w:b/>
          <w:sz w:val="24"/>
          <w:szCs w:val="24"/>
        </w:rPr>
        <w:t xml:space="preserve">Об </w:t>
      </w:r>
      <w:r>
        <w:rPr>
          <w:b/>
          <w:sz w:val="24"/>
          <w:szCs w:val="24"/>
        </w:rPr>
        <w:t>утверждении Положения об оплате труда работников, осуществляющих полномочия по первичному воинскому учету в Кетовском муниципальном округе Курганской области</w:t>
      </w:r>
    </w:p>
    <w:p w:rsidR="0048756E" w:rsidRDefault="0048756E">
      <w:pPr>
        <w:pStyle w:val="Standard"/>
        <w:jc w:val="center"/>
        <w:rPr>
          <w:b/>
          <w:sz w:val="24"/>
          <w:szCs w:val="24"/>
        </w:rPr>
      </w:pPr>
    </w:p>
    <w:p w:rsidR="0048756E" w:rsidRDefault="005246F9">
      <w:pPr>
        <w:pStyle w:val="Standard"/>
        <w:ind w:firstLine="708"/>
        <w:jc w:val="both"/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В соответствии   с   Федеральным   законом   от   6 октября 2003 года №131 – ФЗ «Об общих прин</w:t>
      </w:r>
      <w:r>
        <w:rPr>
          <w:sz w:val="24"/>
          <w:szCs w:val="24"/>
        </w:rPr>
        <w:t>ципах организации местного самоуправления в Российской Федерации», Трудовым Кодексом Российской Федерации, Уставом   Кетовского муниципального округа Курганской области в целях обеспечения социальных гарантий и упорядочения оплаты труда работников, осущест</w:t>
      </w:r>
      <w:r>
        <w:rPr>
          <w:sz w:val="24"/>
          <w:szCs w:val="24"/>
        </w:rPr>
        <w:t>вляющих полномочия по первичному воинскому учету, Администрация Кетовского муниципального округа ПОСТАНОВЛЯЕТ:</w:t>
      </w:r>
      <w:proofErr w:type="gramEnd"/>
    </w:p>
    <w:p w:rsidR="0048756E" w:rsidRDefault="005246F9">
      <w:pPr>
        <w:pStyle w:val="a5"/>
        <w:numPr>
          <w:ilvl w:val="0"/>
          <w:numId w:val="8"/>
        </w:numPr>
        <w:ind w:left="0" w:firstLine="1080"/>
        <w:jc w:val="both"/>
      </w:pPr>
      <w:r>
        <w:t>Утвердить Положение об оплате труда работников, осуществляющих полномочия по первичному воинскому учету в</w:t>
      </w:r>
      <w:r>
        <w:rPr>
          <w:b/>
        </w:rPr>
        <w:t xml:space="preserve"> </w:t>
      </w:r>
      <w:r>
        <w:t>Кетовском муниципальном округе Курганск</w:t>
      </w:r>
      <w:r>
        <w:t>ой области согласно приложению, к настоящему постановлению.</w:t>
      </w:r>
    </w:p>
    <w:p w:rsidR="0048756E" w:rsidRDefault="005246F9">
      <w:pPr>
        <w:pStyle w:val="a5"/>
        <w:numPr>
          <w:ilvl w:val="0"/>
          <w:numId w:val="1"/>
        </w:numPr>
        <w:ind w:left="0" w:firstLine="1080"/>
        <w:jc w:val="both"/>
      </w:pPr>
      <w:r>
        <w:t>Постановление Администрации Кетовского муниципального округа №97 от 03.10.2022г. «Об утверждении Положения об оплате труда работников, осуществляющих полномочия по первичному воинскому учету Кето</w:t>
      </w:r>
      <w:r>
        <w:t>вского муниципального округа Курганской области» признать утратившим силу.</w:t>
      </w:r>
    </w:p>
    <w:p w:rsidR="0048756E" w:rsidRDefault="005246F9">
      <w:pPr>
        <w:pStyle w:val="a5"/>
        <w:numPr>
          <w:ilvl w:val="0"/>
          <w:numId w:val="1"/>
        </w:numPr>
        <w:ind w:left="0" w:firstLine="1080"/>
        <w:jc w:val="both"/>
      </w:pPr>
      <w:r>
        <w:t>Настоящее постановление разместить на официальном сайте Администрации Кетовского муниципального округа.</w:t>
      </w:r>
    </w:p>
    <w:p w:rsidR="0048756E" w:rsidRDefault="005246F9">
      <w:pPr>
        <w:pStyle w:val="a5"/>
        <w:numPr>
          <w:ilvl w:val="0"/>
          <w:numId w:val="1"/>
        </w:numPr>
        <w:ind w:left="0" w:firstLine="1080"/>
        <w:jc w:val="both"/>
      </w:pPr>
      <w:r>
        <w:t xml:space="preserve">Настоящее постановление подлежит официальному опубликованию в информационном </w:t>
      </w:r>
      <w:r>
        <w:t>бюллетене «Курс района» в установленном порядке.</w:t>
      </w:r>
    </w:p>
    <w:p w:rsidR="0048756E" w:rsidRDefault="005246F9">
      <w:pPr>
        <w:pStyle w:val="a5"/>
        <w:numPr>
          <w:ilvl w:val="0"/>
          <w:numId w:val="1"/>
        </w:numPr>
        <w:ind w:left="0" w:firstLine="1080"/>
        <w:jc w:val="both"/>
      </w:pPr>
      <w:r>
        <w:t>Настоящее постановление вступает в силу после его опубликования и применяется к правоотношениям с 1 июня 2025 года.</w:t>
      </w:r>
    </w:p>
    <w:p w:rsidR="0048756E" w:rsidRDefault="005246F9">
      <w:pPr>
        <w:pStyle w:val="a5"/>
        <w:numPr>
          <w:ilvl w:val="0"/>
          <w:numId w:val="1"/>
        </w:numPr>
        <w:ind w:left="0" w:firstLine="1080"/>
        <w:jc w:val="both"/>
      </w:pPr>
      <w:r>
        <w:t xml:space="preserve">      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Ке</w:t>
      </w:r>
      <w:r>
        <w:t>товского муниципального округа по финансовой политике - руководителя Финансового управления.</w:t>
      </w:r>
    </w:p>
    <w:p w:rsidR="0048756E" w:rsidRDefault="0048756E">
      <w:pPr>
        <w:pStyle w:val="Standard"/>
        <w:rPr>
          <w:sz w:val="24"/>
          <w:szCs w:val="24"/>
        </w:rPr>
      </w:pPr>
    </w:p>
    <w:p w:rsidR="0048756E" w:rsidRDefault="0048756E">
      <w:pPr>
        <w:pStyle w:val="Standard"/>
        <w:rPr>
          <w:sz w:val="24"/>
          <w:szCs w:val="24"/>
        </w:rPr>
      </w:pPr>
    </w:p>
    <w:p w:rsidR="0048756E" w:rsidRDefault="005246F9">
      <w:pPr>
        <w:pStyle w:val="Standard"/>
      </w:pPr>
      <w:r>
        <w:rPr>
          <w:sz w:val="24"/>
          <w:szCs w:val="24"/>
        </w:rPr>
        <w:t xml:space="preserve">Глава Кетовского муниципального округа  </w:t>
      </w:r>
    </w:p>
    <w:p w:rsidR="0048756E" w:rsidRDefault="005246F9">
      <w:pPr>
        <w:pStyle w:val="Standard"/>
      </w:pPr>
      <w:r>
        <w:rPr>
          <w:sz w:val="24"/>
          <w:szCs w:val="24"/>
        </w:rPr>
        <w:t xml:space="preserve">Курганской области                                                                                                </w:t>
      </w:r>
      <w:proofErr w:type="spellStart"/>
      <w:r>
        <w:rPr>
          <w:sz w:val="24"/>
          <w:szCs w:val="24"/>
        </w:rPr>
        <w:t>О.Н.Язовских</w:t>
      </w:r>
      <w:proofErr w:type="spellEnd"/>
    </w:p>
    <w:p w:rsidR="0048756E" w:rsidRDefault="0048756E">
      <w:pPr>
        <w:pStyle w:val="Standard"/>
        <w:rPr>
          <w:sz w:val="24"/>
          <w:szCs w:val="24"/>
        </w:rPr>
      </w:pPr>
    </w:p>
    <w:p w:rsidR="0048756E" w:rsidRDefault="0048756E">
      <w:pPr>
        <w:pStyle w:val="Standard"/>
        <w:rPr>
          <w:sz w:val="24"/>
          <w:szCs w:val="24"/>
        </w:rPr>
      </w:pPr>
    </w:p>
    <w:p w:rsidR="0048756E" w:rsidRDefault="0048756E">
      <w:pPr>
        <w:pStyle w:val="Standard"/>
        <w:rPr>
          <w:sz w:val="24"/>
          <w:szCs w:val="24"/>
        </w:rPr>
      </w:pPr>
    </w:p>
    <w:p w:rsidR="0048756E" w:rsidRDefault="0048756E">
      <w:pPr>
        <w:pStyle w:val="Standard"/>
        <w:rPr>
          <w:sz w:val="24"/>
          <w:szCs w:val="24"/>
        </w:rPr>
      </w:pPr>
    </w:p>
    <w:p w:rsidR="0048756E" w:rsidRDefault="0048756E">
      <w:pPr>
        <w:pStyle w:val="Standard"/>
        <w:rPr>
          <w:sz w:val="24"/>
          <w:szCs w:val="24"/>
        </w:rPr>
      </w:pPr>
    </w:p>
    <w:p w:rsidR="0048756E" w:rsidRDefault="0048756E">
      <w:pPr>
        <w:pStyle w:val="Standard"/>
        <w:rPr>
          <w:sz w:val="24"/>
          <w:szCs w:val="24"/>
        </w:rPr>
      </w:pPr>
    </w:p>
    <w:p w:rsidR="0048756E" w:rsidRDefault="0048756E">
      <w:pPr>
        <w:pStyle w:val="Standard"/>
        <w:rPr>
          <w:sz w:val="24"/>
          <w:szCs w:val="24"/>
        </w:rPr>
      </w:pPr>
    </w:p>
    <w:p w:rsidR="0048756E" w:rsidRDefault="0048756E">
      <w:pPr>
        <w:pStyle w:val="Standard"/>
        <w:rPr>
          <w:sz w:val="24"/>
          <w:szCs w:val="24"/>
        </w:rPr>
      </w:pPr>
    </w:p>
    <w:p w:rsidR="0048756E" w:rsidRDefault="005246F9">
      <w:pPr>
        <w:pStyle w:val="Standard"/>
      </w:pPr>
      <w:proofErr w:type="spellStart"/>
      <w:r>
        <w:t>Ладошко</w:t>
      </w:r>
      <w:proofErr w:type="spellEnd"/>
      <w:r>
        <w:t xml:space="preserve"> Ольга Олеговна</w:t>
      </w:r>
    </w:p>
    <w:p w:rsidR="0048756E" w:rsidRDefault="005246F9">
      <w:pPr>
        <w:pStyle w:val="Standard"/>
      </w:pPr>
      <w:r>
        <w:t>тел. (35231) 23946</w:t>
      </w:r>
    </w:p>
    <w:p w:rsidR="0048756E" w:rsidRDefault="005246F9">
      <w:pPr>
        <w:pStyle w:val="Standard"/>
        <w:jc w:val="center"/>
      </w:pPr>
      <w:r>
        <w:rPr>
          <w:sz w:val="24"/>
          <w:szCs w:val="24"/>
        </w:rPr>
        <w:t xml:space="preserve">         </w:t>
      </w:r>
    </w:p>
    <w:p w:rsidR="0048756E" w:rsidRDefault="005246F9">
      <w:pPr>
        <w:pStyle w:val="Standard"/>
        <w:jc w:val="center"/>
      </w:pPr>
      <w:r>
        <w:rPr>
          <w:sz w:val="24"/>
          <w:szCs w:val="24"/>
        </w:rPr>
        <w:lastRenderedPageBreak/>
        <w:t xml:space="preserve">                                           Приложение к постановлению</w:t>
      </w:r>
    </w:p>
    <w:p w:rsidR="0048756E" w:rsidRDefault="005246F9">
      <w:pPr>
        <w:pStyle w:val="Standard"/>
        <w:jc w:val="both"/>
      </w:pPr>
      <w:r>
        <w:rPr>
          <w:sz w:val="24"/>
          <w:szCs w:val="24"/>
        </w:rPr>
        <w:t xml:space="preserve">                                                                           Администрации Кетовского </w:t>
      </w:r>
      <w:proofErr w:type="gramStart"/>
      <w:r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proofErr w:type="gramEnd"/>
      <w:r>
        <w:rPr>
          <w:sz w:val="24"/>
          <w:szCs w:val="24"/>
        </w:rPr>
        <w:t xml:space="preserve">                    </w:t>
      </w:r>
    </w:p>
    <w:p w:rsidR="0048756E" w:rsidRDefault="005246F9">
      <w:pPr>
        <w:pStyle w:val="Standard"/>
        <w:jc w:val="both"/>
      </w:pPr>
      <w:r>
        <w:rPr>
          <w:sz w:val="24"/>
          <w:szCs w:val="24"/>
        </w:rPr>
        <w:t xml:space="preserve">                                                                           округа «Об утверждении Положения </w:t>
      </w:r>
      <w:proofErr w:type="gramStart"/>
      <w:r>
        <w:rPr>
          <w:sz w:val="24"/>
          <w:szCs w:val="24"/>
        </w:rPr>
        <w:t>об</w:t>
      </w:r>
      <w:proofErr w:type="gramEnd"/>
    </w:p>
    <w:p w:rsidR="0048756E" w:rsidRDefault="005246F9">
      <w:pPr>
        <w:pStyle w:val="Standard"/>
        <w:jc w:val="both"/>
      </w:pPr>
      <w:r>
        <w:rPr>
          <w:sz w:val="24"/>
          <w:szCs w:val="24"/>
        </w:rPr>
        <w:t xml:space="preserve">                                                                           оплате труда работников, осуществляющих</w:t>
      </w:r>
    </w:p>
    <w:p w:rsidR="0048756E" w:rsidRDefault="005246F9">
      <w:pPr>
        <w:pStyle w:val="Standard"/>
        <w:jc w:val="both"/>
      </w:pPr>
      <w:r>
        <w:rPr>
          <w:sz w:val="24"/>
          <w:szCs w:val="24"/>
        </w:rPr>
        <w:t xml:space="preserve">                                                                           полномочия по первичному воинскому учету</w:t>
      </w:r>
    </w:p>
    <w:p w:rsidR="0048756E" w:rsidRDefault="005246F9">
      <w:pPr>
        <w:pStyle w:val="Standard"/>
        <w:jc w:val="both"/>
      </w:pPr>
      <w:r>
        <w:rPr>
          <w:sz w:val="24"/>
          <w:szCs w:val="24"/>
        </w:rPr>
        <w:t xml:space="preserve">                                                                           в Кетовском муниципальном округе</w:t>
      </w:r>
    </w:p>
    <w:p w:rsidR="0048756E" w:rsidRDefault="005246F9">
      <w:pPr>
        <w:pStyle w:val="Standard"/>
        <w:jc w:val="both"/>
      </w:pP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       Курганской области»</w:t>
      </w:r>
    </w:p>
    <w:p w:rsidR="0048756E" w:rsidRDefault="005246F9">
      <w:pPr>
        <w:pStyle w:val="Standard"/>
        <w:jc w:val="both"/>
      </w:pPr>
      <w:r>
        <w:rPr>
          <w:sz w:val="24"/>
          <w:szCs w:val="24"/>
        </w:rPr>
        <w:t xml:space="preserve">                                                                           от 23 мая 2025 года № 1539</w:t>
      </w:r>
    </w:p>
    <w:p w:rsidR="0048756E" w:rsidRDefault="0048756E">
      <w:pPr>
        <w:pStyle w:val="Standard"/>
        <w:spacing w:after="200" w:line="276" w:lineRule="auto"/>
        <w:jc w:val="right"/>
        <w:rPr>
          <w:color w:val="000000"/>
          <w:szCs w:val="29"/>
          <w:lang w:eastAsia="ar-SA"/>
        </w:rPr>
      </w:pPr>
    </w:p>
    <w:p w:rsidR="0048756E" w:rsidRDefault="0048756E">
      <w:pPr>
        <w:pStyle w:val="Standard"/>
        <w:jc w:val="center"/>
        <w:rPr>
          <w:color w:val="000000"/>
          <w:szCs w:val="29"/>
          <w:lang w:eastAsia="ar-SA"/>
        </w:rPr>
      </w:pPr>
    </w:p>
    <w:p w:rsidR="0048756E" w:rsidRDefault="005246F9">
      <w:pPr>
        <w:pStyle w:val="Standard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Положения об оплате труда работников, осуществляющих полномочия по первичному воинскому</w:t>
      </w:r>
      <w:r>
        <w:rPr>
          <w:b/>
          <w:sz w:val="24"/>
          <w:szCs w:val="24"/>
        </w:rPr>
        <w:t xml:space="preserve"> учету в Кетовском муниципальном округе Курганской области</w:t>
      </w:r>
    </w:p>
    <w:p w:rsidR="0048756E" w:rsidRDefault="0048756E">
      <w:pPr>
        <w:pStyle w:val="Standard"/>
        <w:jc w:val="center"/>
        <w:rPr>
          <w:sz w:val="24"/>
          <w:szCs w:val="24"/>
        </w:rPr>
      </w:pPr>
    </w:p>
    <w:p w:rsidR="0048756E" w:rsidRDefault="005246F9">
      <w:pPr>
        <w:pStyle w:val="Standard"/>
        <w:ind w:left="-709"/>
        <w:jc w:val="center"/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.Общие положения</w:t>
      </w:r>
    </w:p>
    <w:p w:rsidR="0048756E" w:rsidRDefault="0048756E">
      <w:pPr>
        <w:pStyle w:val="Standard"/>
        <w:ind w:left="-709"/>
        <w:jc w:val="center"/>
        <w:rPr>
          <w:b/>
          <w:sz w:val="24"/>
          <w:szCs w:val="24"/>
        </w:rPr>
      </w:pPr>
    </w:p>
    <w:p w:rsidR="0048756E" w:rsidRDefault="005246F9">
      <w:pPr>
        <w:pStyle w:val="Standard"/>
        <w:ind w:firstLine="851"/>
        <w:jc w:val="both"/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Настоящее положение разработано в соответствии со статьями 135-144 Трудового кодекса Российской Федерации, статьей 86 Бюджетного кодекса Российской Федерации, статьей 53 </w:t>
      </w:r>
      <w:r>
        <w:rPr>
          <w:sz w:val="24"/>
          <w:szCs w:val="24"/>
        </w:rPr>
        <w:t>Федерального закона от 06 октября 2003 года № 131 – ФЗ «Об общих принципах организации местного самоуправления в Российской Федерации» в соответствии с приказом Министра обороны Российской Федерации от 18 сентября 2019 года № 545 «О системе оплаты труда гр</w:t>
      </w:r>
      <w:r>
        <w:rPr>
          <w:sz w:val="24"/>
          <w:szCs w:val="24"/>
        </w:rPr>
        <w:t>ажданского персонала (работников) воинских</w:t>
      </w:r>
      <w:proofErr w:type="gramEnd"/>
      <w:r>
        <w:rPr>
          <w:sz w:val="24"/>
          <w:szCs w:val="24"/>
        </w:rPr>
        <w:t xml:space="preserve"> частей и организаций Вооруженных сил Российской Федерации».</w:t>
      </w:r>
    </w:p>
    <w:p w:rsidR="0048756E" w:rsidRDefault="005246F9">
      <w:pPr>
        <w:pStyle w:val="Standard"/>
        <w:ind w:firstLine="851"/>
        <w:jc w:val="both"/>
      </w:pPr>
      <w:r>
        <w:rPr>
          <w:sz w:val="24"/>
          <w:szCs w:val="24"/>
        </w:rPr>
        <w:t>1.2 Настоящее Положение применяется при определении заработной платы освобожденных военно-учетных работников и работников, выполняющих обязанности по сов</w:t>
      </w:r>
      <w:r>
        <w:rPr>
          <w:sz w:val="24"/>
          <w:szCs w:val="24"/>
        </w:rPr>
        <w:t>местительству, (далее – ВУС), осуществляющих первичный воинский учет на территории Кетовского муниципального округа.</w:t>
      </w:r>
    </w:p>
    <w:p w:rsidR="0048756E" w:rsidRDefault="005246F9">
      <w:pPr>
        <w:pStyle w:val="Standard"/>
        <w:ind w:firstLine="851"/>
        <w:jc w:val="both"/>
      </w:pPr>
      <w:r>
        <w:rPr>
          <w:sz w:val="24"/>
          <w:szCs w:val="24"/>
        </w:rPr>
        <w:t>1.3. Оплата труда работников ВУС производится из средств субвенции, предоставленной бюджету округа из федерального бюджета.</w:t>
      </w:r>
    </w:p>
    <w:p w:rsidR="0048756E" w:rsidRDefault="005246F9">
      <w:pPr>
        <w:pStyle w:val="Standard"/>
        <w:ind w:firstLine="851"/>
        <w:jc w:val="both"/>
      </w:pPr>
      <w:r>
        <w:rPr>
          <w:sz w:val="24"/>
          <w:szCs w:val="24"/>
        </w:rPr>
        <w:t>1.4.Система опл</w:t>
      </w:r>
      <w:r>
        <w:rPr>
          <w:sz w:val="24"/>
          <w:szCs w:val="24"/>
        </w:rPr>
        <w:t>аты труда работников ВУС включает месячный должностной оклад (далее – должностной оклад), ежемесячные и иные дополнительные выплаты.</w:t>
      </w:r>
    </w:p>
    <w:p w:rsidR="0048756E" w:rsidRDefault="005246F9">
      <w:pPr>
        <w:pStyle w:val="Standard"/>
        <w:ind w:firstLine="851"/>
        <w:jc w:val="both"/>
      </w:pPr>
      <w:r>
        <w:rPr>
          <w:sz w:val="24"/>
          <w:szCs w:val="24"/>
        </w:rPr>
        <w:t>1.5. Условия оплаты труда, включая размер оклада (должностного оклада), выплаты стимулирующего характера, являются обязател</w:t>
      </w:r>
      <w:r>
        <w:rPr>
          <w:sz w:val="24"/>
          <w:szCs w:val="24"/>
        </w:rPr>
        <w:t>ьными для включения в трудовой договор.</w:t>
      </w:r>
    </w:p>
    <w:p w:rsidR="0048756E" w:rsidRDefault="0048756E">
      <w:pPr>
        <w:pStyle w:val="Standard"/>
        <w:ind w:firstLine="851"/>
        <w:jc w:val="both"/>
        <w:rPr>
          <w:sz w:val="24"/>
          <w:szCs w:val="24"/>
        </w:rPr>
      </w:pPr>
    </w:p>
    <w:p w:rsidR="0048756E" w:rsidRDefault="005246F9">
      <w:pPr>
        <w:pStyle w:val="Standard"/>
        <w:ind w:firstLine="851"/>
        <w:jc w:val="center"/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Порядок и условия оплаты труда</w:t>
      </w:r>
    </w:p>
    <w:p w:rsidR="0048756E" w:rsidRDefault="0048756E">
      <w:pPr>
        <w:pStyle w:val="Standard"/>
        <w:ind w:firstLine="851"/>
        <w:jc w:val="center"/>
        <w:rPr>
          <w:b/>
          <w:sz w:val="24"/>
          <w:szCs w:val="24"/>
        </w:rPr>
      </w:pPr>
    </w:p>
    <w:p w:rsidR="0048756E" w:rsidRDefault="005246F9">
      <w:pPr>
        <w:pStyle w:val="Standard"/>
        <w:ind w:firstLine="851"/>
        <w:jc w:val="both"/>
      </w:pPr>
      <w:r>
        <w:rPr>
          <w:sz w:val="24"/>
          <w:szCs w:val="24"/>
        </w:rPr>
        <w:t>2.1. Условия оплаты труда, предусмотренные настоящим разделом, устанавливаются работникам ВУС за выполнение ими профессиональных обязанностей, обусловленных трудовым договором, за</w:t>
      </w:r>
      <w:r>
        <w:rPr>
          <w:sz w:val="24"/>
          <w:szCs w:val="24"/>
        </w:rPr>
        <w:t xml:space="preserve"> полностью отработанное рабочее время согласно действующему законодательству и правилам внутреннего трудового распорядка учреждения.</w:t>
      </w:r>
    </w:p>
    <w:p w:rsidR="0048756E" w:rsidRDefault="005246F9">
      <w:pPr>
        <w:pStyle w:val="Standard"/>
        <w:widowControl/>
        <w:ind w:firstLine="851"/>
        <w:jc w:val="both"/>
      </w:pPr>
      <w:r>
        <w:rPr>
          <w:sz w:val="24"/>
          <w:szCs w:val="24"/>
        </w:rPr>
        <w:t>2.2. Размер должностного оклада освобожденного военно-учетного работника устанавливается в размере оклада помощника начальн</w:t>
      </w:r>
      <w:r>
        <w:rPr>
          <w:sz w:val="24"/>
          <w:szCs w:val="24"/>
        </w:rPr>
        <w:t>ика отделения.</w:t>
      </w:r>
    </w:p>
    <w:p w:rsidR="0048756E" w:rsidRDefault="005246F9">
      <w:pPr>
        <w:pStyle w:val="Standard"/>
        <w:widowControl/>
        <w:ind w:firstLine="851"/>
        <w:jc w:val="both"/>
      </w:pPr>
      <w:r>
        <w:rPr>
          <w:sz w:val="24"/>
          <w:szCs w:val="24"/>
        </w:rPr>
        <w:t>2.3. Размер должностного оклада военно-учетного работника, выполняющего обязанности по совместительству, устанавливается прямо пропорционально количеству граждан, состоящих на воинском учете в органе местного</w:t>
      </w:r>
      <w:r>
        <w:t xml:space="preserve"> </w:t>
      </w:r>
      <w:r>
        <w:rPr>
          <w:sz w:val="24"/>
          <w:szCs w:val="24"/>
        </w:rPr>
        <w:t>самоуправления.</w:t>
      </w:r>
    </w:p>
    <w:p w:rsidR="0048756E" w:rsidRDefault="005246F9">
      <w:pPr>
        <w:pStyle w:val="Standard"/>
        <w:widowControl/>
        <w:ind w:firstLine="851"/>
        <w:jc w:val="both"/>
      </w:pPr>
      <w:r>
        <w:rPr>
          <w:sz w:val="24"/>
          <w:szCs w:val="24"/>
        </w:rPr>
        <w:t>2.4. Для работн</w:t>
      </w:r>
      <w:r>
        <w:rPr>
          <w:sz w:val="24"/>
          <w:szCs w:val="24"/>
        </w:rPr>
        <w:t>иков ВУС, занятых по совместительству устанавливается часовая неделя прямо пропорционально количеству граждан, состоящих на воинском учете в населенных пунктах, подведомственных территориальному отделу Администрации Кетовского муниципального округа:</w:t>
      </w:r>
    </w:p>
    <w:p w:rsidR="0048756E" w:rsidRDefault="005246F9">
      <w:pPr>
        <w:pStyle w:val="Standard"/>
        <w:widowControl/>
        <w:ind w:firstLine="851"/>
        <w:jc w:val="both"/>
      </w:pPr>
      <w:r>
        <w:rPr>
          <w:sz w:val="24"/>
          <w:szCs w:val="24"/>
        </w:rPr>
        <w:t>до 900</w:t>
      </w:r>
      <w:r>
        <w:rPr>
          <w:sz w:val="24"/>
          <w:szCs w:val="24"/>
        </w:rPr>
        <w:t xml:space="preserve"> граждан – 0,5 штатной единицы;</w:t>
      </w:r>
    </w:p>
    <w:p w:rsidR="0048756E" w:rsidRDefault="005246F9">
      <w:pPr>
        <w:pStyle w:val="Standard"/>
        <w:widowControl/>
        <w:ind w:firstLine="851"/>
        <w:jc w:val="both"/>
      </w:pPr>
      <w:r>
        <w:rPr>
          <w:sz w:val="24"/>
          <w:szCs w:val="24"/>
        </w:rPr>
        <w:t>от 900 до 1300 граждан – 1 штатная единица;</w:t>
      </w:r>
    </w:p>
    <w:p w:rsidR="0048756E" w:rsidRDefault="005246F9">
      <w:pPr>
        <w:pStyle w:val="Standard"/>
        <w:widowControl/>
        <w:ind w:firstLine="851"/>
        <w:jc w:val="both"/>
      </w:pPr>
      <w:r>
        <w:rPr>
          <w:sz w:val="24"/>
          <w:szCs w:val="24"/>
        </w:rPr>
        <w:t>от 1301 до 1550 граждан – 1,3 штатной единицы;</w:t>
      </w:r>
    </w:p>
    <w:p w:rsidR="0048756E" w:rsidRDefault="005246F9">
      <w:pPr>
        <w:pStyle w:val="Standard"/>
        <w:widowControl/>
        <w:ind w:firstLine="851"/>
        <w:jc w:val="both"/>
      </w:pPr>
      <w:r>
        <w:rPr>
          <w:sz w:val="24"/>
          <w:szCs w:val="24"/>
        </w:rPr>
        <w:t>от 1551 до 1650 граждан – 1,4 штатной единицы;</w:t>
      </w:r>
    </w:p>
    <w:p w:rsidR="0048756E" w:rsidRDefault="005246F9">
      <w:pPr>
        <w:pStyle w:val="Standard"/>
        <w:widowControl/>
        <w:ind w:firstLine="851"/>
        <w:jc w:val="both"/>
      </w:pPr>
      <w:r>
        <w:rPr>
          <w:sz w:val="24"/>
          <w:szCs w:val="24"/>
        </w:rPr>
        <w:lastRenderedPageBreak/>
        <w:t>от 1651 и свыше  граждан – 1,5 штатная единица.</w:t>
      </w:r>
    </w:p>
    <w:p w:rsidR="0048756E" w:rsidRDefault="005246F9">
      <w:pPr>
        <w:pStyle w:val="Standard"/>
        <w:widowControl/>
        <w:ind w:firstLine="851"/>
        <w:jc w:val="both"/>
      </w:pPr>
      <w:r>
        <w:rPr>
          <w:sz w:val="24"/>
          <w:szCs w:val="24"/>
        </w:rPr>
        <w:t>Расчет количества штатных единиц воен</w:t>
      </w:r>
      <w:r>
        <w:rPr>
          <w:sz w:val="24"/>
          <w:szCs w:val="24"/>
        </w:rPr>
        <w:t>но-учетных работников в штатном расписании каждого территориального отдела Администрации Кетовского муниципального округа в зависимости от граждан, состоящих на воинском учете, производится не реже 1 раза в 3 года на основании информации, полученной от Вое</w:t>
      </w:r>
      <w:r>
        <w:rPr>
          <w:sz w:val="24"/>
          <w:szCs w:val="24"/>
        </w:rPr>
        <w:t xml:space="preserve">нного комиссариата (Кетовского, </w:t>
      </w:r>
      <w:proofErr w:type="spellStart"/>
      <w:r>
        <w:rPr>
          <w:sz w:val="24"/>
          <w:szCs w:val="24"/>
        </w:rPr>
        <w:t>Половинского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Притобольного</w:t>
      </w:r>
      <w:proofErr w:type="spellEnd"/>
      <w:r>
        <w:rPr>
          <w:sz w:val="24"/>
          <w:szCs w:val="24"/>
        </w:rPr>
        <w:t xml:space="preserve"> районов Курганской области).</w:t>
      </w:r>
    </w:p>
    <w:p w:rsidR="0048756E" w:rsidRDefault="005246F9">
      <w:pPr>
        <w:pStyle w:val="Standard"/>
        <w:widowControl/>
        <w:ind w:firstLine="851"/>
        <w:jc w:val="both"/>
      </w:pPr>
      <w:r>
        <w:rPr>
          <w:sz w:val="24"/>
          <w:szCs w:val="24"/>
        </w:rPr>
        <w:t>2.5. Оплата труда военно-учетных работников, а также выплаты стимулирующего характера, предусмотренные данным Положением и федеральным законодательством, осуществляют</w:t>
      </w:r>
      <w:r>
        <w:rPr>
          <w:sz w:val="24"/>
          <w:szCs w:val="24"/>
        </w:rPr>
        <w:t>ся за счет средств субвенции.</w:t>
      </w:r>
    </w:p>
    <w:p w:rsidR="0048756E" w:rsidRDefault="005246F9">
      <w:pPr>
        <w:pStyle w:val="Standard"/>
        <w:ind w:firstLine="851"/>
        <w:jc w:val="both"/>
      </w:pPr>
      <w:r>
        <w:rPr>
          <w:sz w:val="24"/>
          <w:szCs w:val="24"/>
        </w:rPr>
        <w:t>2.6. Процентная надбавка за выслугу лет к должностным окладам устанавливается в следующих размерах:</w:t>
      </w:r>
    </w:p>
    <w:p w:rsidR="0048756E" w:rsidRDefault="005246F9">
      <w:pPr>
        <w:pStyle w:val="Standard"/>
        <w:jc w:val="both"/>
      </w:pPr>
      <w:r>
        <w:rPr>
          <w:sz w:val="24"/>
          <w:szCs w:val="24"/>
        </w:rPr>
        <w:t xml:space="preserve">              Свыше 1 год – 5%</w:t>
      </w:r>
    </w:p>
    <w:p w:rsidR="0048756E" w:rsidRDefault="005246F9">
      <w:pPr>
        <w:pStyle w:val="Standard"/>
        <w:ind w:firstLine="851"/>
        <w:jc w:val="both"/>
      </w:pPr>
      <w:r>
        <w:rPr>
          <w:sz w:val="24"/>
          <w:szCs w:val="24"/>
        </w:rPr>
        <w:t>Свыше 2 лет – 10%</w:t>
      </w:r>
    </w:p>
    <w:p w:rsidR="0048756E" w:rsidRDefault="005246F9">
      <w:pPr>
        <w:pStyle w:val="Standard"/>
        <w:ind w:firstLine="851"/>
        <w:jc w:val="both"/>
      </w:pPr>
      <w:r>
        <w:rPr>
          <w:sz w:val="24"/>
          <w:szCs w:val="24"/>
        </w:rPr>
        <w:t>Свыше 3 лет – 15%</w:t>
      </w:r>
    </w:p>
    <w:p w:rsidR="0048756E" w:rsidRDefault="005246F9">
      <w:pPr>
        <w:pStyle w:val="Standard"/>
        <w:ind w:firstLine="851"/>
        <w:jc w:val="both"/>
      </w:pPr>
      <w:r>
        <w:rPr>
          <w:sz w:val="24"/>
          <w:szCs w:val="24"/>
        </w:rPr>
        <w:t>Свыше 5 лет – 20%</w:t>
      </w:r>
    </w:p>
    <w:p w:rsidR="0048756E" w:rsidRDefault="005246F9">
      <w:pPr>
        <w:pStyle w:val="Standard"/>
        <w:ind w:firstLine="851"/>
        <w:jc w:val="both"/>
      </w:pPr>
      <w:r>
        <w:rPr>
          <w:sz w:val="24"/>
          <w:szCs w:val="24"/>
        </w:rPr>
        <w:t>Свыше 10лет – 30%</w:t>
      </w:r>
    </w:p>
    <w:p w:rsidR="0048756E" w:rsidRDefault="005246F9">
      <w:pPr>
        <w:pStyle w:val="Standard"/>
        <w:ind w:firstLine="851"/>
        <w:jc w:val="both"/>
      </w:pPr>
      <w:r>
        <w:rPr>
          <w:sz w:val="24"/>
          <w:szCs w:val="24"/>
        </w:rPr>
        <w:t>Свыше 15 лет – 40%</w:t>
      </w:r>
    </w:p>
    <w:p w:rsidR="0048756E" w:rsidRDefault="005246F9">
      <w:pPr>
        <w:pStyle w:val="Standard"/>
        <w:widowControl/>
        <w:jc w:val="both"/>
      </w:pPr>
      <w:r>
        <w:rPr>
          <w:sz w:val="24"/>
          <w:szCs w:val="24"/>
          <w:lang w:eastAsia="zh-CN"/>
        </w:rPr>
        <w:t xml:space="preserve">             </w:t>
      </w:r>
      <w:proofErr w:type="gramStart"/>
      <w:r>
        <w:rPr>
          <w:sz w:val="24"/>
          <w:szCs w:val="24"/>
          <w:lang w:eastAsia="zh-CN"/>
        </w:rPr>
        <w:t>В стаж работы для установления надбавки за выслугу лет включаются периоды муниципальной службы и иные периоды замещения должностей, включаемые в стаж муниципальной службы, определяемый в соответствии с действующим законодательством, а так же п</w:t>
      </w:r>
      <w:r>
        <w:rPr>
          <w:sz w:val="24"/>
          <w:szCs w:val="24"/>
          <w:lang w:eastAsia="zh-CN"/>
        </w:rPr>
        <w:t xml:space="preserve">ериоды работы военно-учетных работников в организациях в соответствии с пунктами 27-34 </w:t>
      </w:r>
      <w:r>
        <w:rPr>
          <w:rFonts w:cs="Calibri"/>
          <w:sz w:val="24"/>
          <w:szCs w:val="24"/>
          <w:lang w:eastAsia="en-US"/>
        </w:rPr>
        <w:t>приказа Министра обороны РФ от 18.09.2019года  №545 "О системе оплаты труда гражданского персонала (работников) воинских частей</w:t>
      </w:r>
      <w:proofErr w:type="gramEnd"/>
      <w:r>
        <w:rPr>
          <w:rFonts w:cs="Calibri"/>
          <w:sz w:val="24"/>
          <w:szCs w:val="24"/>
          <w:lang w:eastAsia="en-US"/>
        </w:rPr>
        <w:t xml:space="preserve"> и организаций Вооруженных Сил Российской </w:t>
      </w:r>
      <w:r>
        <w:rPr>
          <w:rFonts w:cs="Calibri"/>
          <w:sz w:val="24"/>
          <w:szCs w:val="24"/>
          <w:lang w:eastAsia="en-US"/>
        </w:rPr>
        <w:t>Федерации"</w:t>
      </w:r>
      <w:r>
        <w:rPr>
          <w:sz w:val="24"/>
          <w:szCs w:val="24"/>
          <w:lang w:eastAsia="zh-CN"/>
        </w:rPr>
        <w:t>.</w:t>
      </w:r>
    </w:p>
    <w:p w:rsidR="0048756E" w:rsidRDefault="005246F9">
      <w:pPr>
        <w:pStyle w:val="Standard"/>
        <w:ind w:firstLine="851"/>
        <w:jc w:val="both"/>
      </w:pPr>
      <w:r>
        <w:rPr>
          <w:sz w:val="24"/>
          <w:szCs w:val="24"/>
        </w:rPr>
        <w:t>Выплата за выслугу лет осуществляется освобожденным военно-учетным работникам и работникам, выполняющим обязанности по совместительству.</w:t>
      </w:r>
    </w:p>
    <w:p w:rsidR="0048756E" w:rsidRDefault="005246F9">
      <w:pPr>
        <w:pStyle w:val="Standard"/>
        <w:ind w:firstLine="851"/>
        <w:jc w:val="both"/>
      </w:pPr>
      <w:r>
        <w:rPr>
          <w:sz w:val="24"/>
          <w:szCs w:val="24"/>
        </w:rPr>
        <w:t>2.7. Премирование работника производится ежемесячно в размере 25% от должностного оклада за осуществленное и добросов</w:t>
      </w:r>
      <w:r>
        <w:rPr>
          <w:sz w:val="24"/>
          <w:szCs w:val="24"/>
        </w:rPr>
        <w:t>естное исполнение должностных обязанностей, повышения качества выполняемой работы и уровня ответственности за порученный участок по распоряжению руководителя.</w:t>
      </w:r>
    </w:p>
    <w:p w:rsidR="0048756E" w:rsidRDefault="005246F9">
      <w:pPr>
        <w:pStyle w:val="Standard"/>
        <w:ind w:firstLine="851"/>
        <w:jc w:val="both"/>
      </w:pPr>
      <w:r>
        <w:rPr>
          <w:sz w:val="24"/>
          <w:szCs w:val="24"/>
        </w:rPr>
        <w:t>2.8. По итогам календарного года за добросовестное выполнение должностных обязанностей выплачивае</w:t>
      </w:r>
      <w:r>
        <w:rPr>
          <w:sz w:val="24"/>
          <w:szCs w:val="24"/>
        </w:rPr>
        <w:t>тся единовременное денежное вознаграждение в размере до  двух должностных окладов, но не более суммы субвенции, неиспользованной по окончанию года.  Расчет единовременного денежного вознаграждения производится пропорционально отработанному времени.</w:t>
      </w:r>
    </w:p>
    <w:p w:rsidR="0048756E" w:rsidRDefault="005246F9">
      <w:pPr>
        <w:pStyle w:val="Standard"/>
        <w:ind w:firstLine="851"/>
        <w:jc w:val="both"/>
      </w:pPr>
      <w:r>
        <w:rPr>
          <w:sz w:val="24"/>
          <w:szCs w:val="24"/>
        </w:rPr>
        <w:t>2.9. Вы</w:t>
      </w:r>
      <w:r>
        <w:rPr>
          <w:sz w:val="24"/>
          <w:szCs w:val="24"/>
        </w:rPr>
        <w:t>плата премии осуществляется освобожденным военно-учетным работникам и работникам, выполняющим работу по совместительству.</w:t>
      </w:r>
    </w:p>
    <w:p w:rsidR="0048756E" w:rsidRDefault="005246F9">
      <w:pPr>
        <w:pStyle w:val="Standard"/>
        <w:widowControl/>
        <w:ind w:firstLine="851"/>
        <w:jc w:val="both"/>
      </w:pPr>
      <w:r>
        <w:rPr>
          <w:sz w:val="24"/>
          <w:szCs w:val="24"/>
          <w:lang w:eastAsia="zh-CN"/>
        </w:rPr>
        <w:t>2.10. При недобросовестном исполнении военно-учетными работниками своих должностных обязанностей, упущениях в работе, влияющих на каче</w:t>
      </w:r>
      <w:r>
        <w:rPr>
          <w:sz w:val="24"/>
          <w:szCs w:val="24"/>
          <w:lang w:eastAsia="zh-CN"/>
        </w:rPr>
        <w:t xml:space="preserve">ство воинского учета  руководитель своим решением может снижать или лишать полностью таких работников премиальных выплат по итогам работы. Основанием для принятия такого решения является  </w:t>
      </w:r>
      <w:r>
        <w:rPr>
          <w:sz w:val="24"/>
          <w:szCs w:val="24"/>
        </w:rPr>
        <w:t xml:space="preserve">информация, полученной от Военного комиссариата (Кетовского, </w:t>
      </w:r>
      <w:proofErr w:type="spellStart"/>
      <w:r>
        <w:rPr>
          <w:sz w:val="24"/>
          <w:szCs w:val="24"/>
        </w:rPr>
        <w:t>Половин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Притобольного</w:t>
      </w:r>
      <w:proofErr w:type="spellEnd"/>
      <w:r>
        <w:rPr>
          <w:sz w:val="24"/>
          <w:szCs w:val="24"/>
        </w:rPr>
        <w:t xml:space="preserve"> районов Курганской области).</w:t>
      </w:r>
    </w:p>
    <w:p w:rsidR="0048756E" w:rsidRDefault="005246F9">
      <w:pPr>
        <w:pStyle w:val="Standard"/>
        <w:ind w:firstLine="851"/>
        <w:jc w:val="both"/>
      </w:pPr>
      <w:r>
        <w:rPr>
          <w:sz w:val="24"/>
          <w:szCs w:val="24"/>
        </w:rPr>
        <w:t>2.11.В соответствие с Перечнем видов выплат компенсационного характера работнику установлены следующие выплаты компенсационного характера:</w:t>
      </w:r>
    </w:p>
    <w:p w:rsidR="0048756E" w:rsidRDefault="005246F9">
      <w:pPr>
        <w:pStyle w:val="Standard"/>
        <w:ind w:firstLine="851"/>
        <w:jc w:val="both"/>
      </w:pPr>
      <w:r>
        <w:rPr>
          <w:sz w:val="24"/>
          <w:szCs w:val="24"/>
        </w:rPr>
        <w:t>- выплаты за работу в местностях с особыми климатическими условиям</w:t>
      </w:r>
      <w:r>
        <w:rPr>
          <w:sz w:val="24"/>
          <w:szCs w:val="24"/>
        </w:rPr>
        <w:t>и (районный коэффициент).</w:t>
      </w:r>
    </w:p>
    <w:p w:rsidR="0048756E" w:rsidRDefault="005246F9">
      <w:pPr>
        <w:pStyle w:val="Standard"/>
        <w:ind w:firstLine="851"/>
        <w:jc w:val="both"/>
      </w:pPr>
      <w:r>
        <w:rPr>
          <w:sz w:val="24"/>
          <w:szCs w:val="24"/>
        </w:rPr>
        <w:t>Коэффициент за работу в местностях с особыми климатическими условиями (районный коэффициент) в Курганской области применяется в размере 15% к общей сумме начисленной заработной платы.</w:t>
      </w:r>
    </w:p>
    <w:p w:rsidR="0048756E" w:rsidRDefault="0048756E">
      <w:pPr>
        <w:pStyle w:val="Standard"/>
        <w:jc w:val="both"/>
      </w:pPr>
    </w:p>
    <w:sectPr w:rsidR="0048756E">
      <w:pgSz w:w="11906" w:h="16838"/>
      <w:pgMar w:top="1134" w:right="707" w:bottom="993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6F9" w:rsidRDefault="005246F9">
      <w:pPr>
        <w:spacing w:after="0" w:line="240" w:lineRule="auto"/>
      </w:pPr>
      <w:r>
        <w:separator/>
      </w:r>
    </w:p>
  </w:endnote>
  <w:endnote w:type="continuationSeparator" w:id="0">
    <w:p w:rsidR="005246F9" w:rsidRDefault="0052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6F9" w:rsidRDefault="005246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246F9" w:rsidRDefault="00524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16C8"/>
    <w:multiLevelType w:val="multilevel"/>
    <w:tmpl w:val="335248D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4DB129B"/>
    <w:multiLevelType w:val="multilevel"/>
    <w:tmpl w:val="EF86A274"/>
    <w:styleLink w:val="WWNum4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322D3832"/>
    <w:multiLevelType w:val="multilevel"/>
    <w:tmpl w:val="42924C6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41FC28B9"/>
    <w:multiLevelType w:val="multilevel"/>
    <w:tmpl w:val="E85E214A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>
    <w:nsid w:val="68B4004E"/>
    <w:multiLevelType w:val="multilevel"/>
    <w:tmpl w:val="A0D239B2"/>
    <w:styleLink w:val="WWNum6"/>
    <w:lvl w:ilvl="0">
      <w:start w:val="2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6C5956DA"/>
    <w:multiLevelType w:val="multilevel"/>
    <w:tmpl w:val="7EFAB87A"/>
    <w:styleLink w:val="WWNum5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74E252FE"/>
    <w:multiLevelType w:val="multilevel"/>
    <w:tmpl w:val="5590E04A"/>
    <w:styleLink w:val="WWNum7"/>
    <w:lvl w:ilvl="0">
      <w:start w:val="2"/>
      <w:numFmt w:val="decimal"/>
      <w:lvlText w:val="%1."/>
      <w:lvlJc w:val="left"/>
    </w:lvl>
    <w:lvl w:ilvl="1">
      <w:start w:val="6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8756E"/>
    <w:rsid w:val="002957C0"/>
    <w:rsid w:val="0048756E"/>
    <w:rsid w:val="0052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widowControl/>
      <w:ind w:left="720"/>
    </w:pPr>
    <w:rPr>
      <w:sz w:val="24"/>
      <w:szCs w:val="24"/>
    </w:r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widowControl/>
      <w:ind w:left="720"/>
    </w:pPr>
    <w:rPr>
      <w:sz w:val="24"/>
      <w:szCs w:val="24"/>
    </w:r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Ладошко</dc:creator>
  <cp:lastModifiedBy>555</cp:lastModifiedBy>
  <cp:revision>1</cp:revision>
  <cp:lastPrinted>2025-03-17T08:39:00Z</cp:lastPrinted>
  <dcterms:created xsi:type="dcterms:W3CDTF">2022-08-04T08:20:00Z</dcterms:created>
  <dcterms:modified xsi:type="dcterms:W3CDTF">2025-05-29T05:56:00Z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