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57" w:rsidRPr="00AD0FC6" w:rsidRDefault="00847857" w:rsidP="000F5AC9">
      <w:pPr>
        <w:pStyle w:val="3"/>
        <w:keepNext w:val="0"/>
        <w:widowControl w:val="0"/>
        <w:rPr>
          <w:szCs w:val="24"/>
        </w:rPr>
      </w:pPr>
      <w:r w:rsidRPr="00AD0FC6">
        <w:rPr>
          <w:szCs w:val="24"/>
        </w:rPr>
        <w:t>РОССИЙСКАЯ ФЕДЕРАЦИЯ</w:t>
      </w:r>
    </w:p>
    <w:p w:rsidR="00847857" w:rsidRPr="00AD0FC6" w:rsidRDefault="00847857" w:rsidP="000F5AC9">
      <w:pPr>
        <w:pStyle w:val="1"/>
        <w:keepNext w:val="0"/>
        <w:widowControl w:val="0"/>
        <w:rPr>
          <w:rFonts w:ascii="Times New Roman" w:hAnsi="Times New Roman"/>
          <w:sz w:val="24"/>
          <w:szCs w:val="24"/>
        </w:rPr>
      </w:pPr>
      <w:r w:rsidRPr="00AD0FC6">
        <w:rPr>
          <w:rFonts w:ascii="Times New Roman" w:hAnsi="Times New Roman"/>
          <w:sz w:val="24"/>
          <w:szCs w:val="24"/>
        </w:rPr>
        <w:t>КУРГАНСКАЯ ОБЛАСТЬ</w:t>
      </w:r>
    </w:p>
    <w:p w:rsidR="00847857" w:rsidRPr="00AD0FC6" w:rsidRDefault="00847857" w:rsidP="000F5AC9">
      <w:pPr>
        <w:pStyle w:val="3"/>
        <w:keepNext w:val="0"/>
        <w:widowControl w:val="0"/>
        <w:rPr>
          <w:szCs w:val="24"/>
        </w:rPr>
      </w:pPr>
      <w:r w:rsidRPr="00AD0FC6">
        <w:rPr>
          <w:szCs w:val="24"/>
        </w:rPr>
        <w:t>АДМИНИСТРАЦИЯ КЕТОВСКОГО МУНИЦИПАЛЬНОГО ОКРУГА</w:t>
      </w:r>
    </w:p>
    <w:p w:rsidR="00847857" w:rsidRPr="00AD0FC6" w:rsidRDefault="00847857" w:rsidP="000F5AC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857" w:rsidRPr="00AD0FC6" w:rsidRDefault="00847857" w:rsidP="000F5AC9">
      <w:pPr>
        <w:pStyle w:val="2"/>
        <w:keepNext w:val="0"/>
        <w:widowControl w:val="0"/>
        <w:rPr>
          <w:sz w:val="24"/>
          <w:szCs w:val="24"/>
        </w:rPr>
      </w:pPr>
      <w:r w:rsidRPr="00AD0FC6">
        <w:rPr>
          <w:sz w:val="24"/>
          <w:szCs w:val="24"/>
        </w:rPr>
        <w:t>ПОСТАНОВЛЕНИЕ</w:t>
      </w:r>
    </w:p>
    <w:p w:rsidR="00847857" w:rsidRPr="00AD0FC6" w:rsidRDefault="00847857" w:rsidP="000F5AC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857" w:rsidRPr="00AD0FC6" w:rsidRDefault="00847857" w:rsidP="000F5AC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857" w:rsidRPr="00AD0FC6" w:rsidRDefault="00847857" w:rsidP="000F5AC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0FC6">
        <w:rPr>
          <w:rFonts w:ascii="Times New Roman" w:hAnsi="Times New Roman"/>
          <w:sz w:val="24"/>
          <w:szCs w:val="24"/>
        </w:rPr>
        <w:t xml:space="preserve">от  </w:t>
      </w:r>
      <w:r w:rsidR="006B60BD">
        <w:rPr>
          <w:rFonts w:ascii="Times New Roman" w:hAnsi="Times New Roman"/>
          <w:sz w:val="24"/>
          <w:szCs w:val="24"/>
        </w:rPr>
        <w:t>4 сентября</w:t>
      </w:r>
      <w:r w:rsidRPr="00AD0FC6">
        <w:rPr>
          <w:rFonts w:ascii="Times New Roman" w:hAnsi="Times New Roman"/>
          <w:sz w:val="24"/>
          <w:szCs w:val="24"/>
        </w:rPr>
        <w:t xml:space="preserve"> 202</w:t>
      </w:r>
      <w:r w:rsidR="00B16F0C" w:rsidRPr="00AD0FC6">
        <w:rPr>
          <w:rFonts w:ascii="Times New Roman" w:hAnsi="Times New Roman"/>
          <w:sz w:val="24"/>
          <w:szCs w:val="24"/>
        </w:rPr>
        <w:t>4</w:t>
      </w:r>
      <w:r w:rsidR="006B60BD">
        <w:rPr>
          <w:rFonts w:ascii="Times New Roman" w:hAnsi="Times New Roman"/>
          <w:sz w:val="24"/>
          <w:szCs w:val="24"/>
        </w:rPr>
        <w:t xml:space="preserve"> г.  № 2487</w:t>
      </w:r>
    </w:p>
    <w:p w:rsidR="00847857" w:rsidRPr="00AD0FC6" w:rsidRDefault="00847857" w:rsidP="0084785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0FC6">
        <w:rPr>
          <w:rFonts w:ascii="Times New Roman" w:hAnsi="Times New Roman"/>
          <w:sz w:val="24"/>
          <w:szCs w:val="24"/>
        </w:rPr>
        <w:t xml:space="preserve">    </w:t>
      </w:r>
      <w:r w:rsidR="006B60BD">
        <w:rPr>
          <w:rFonts w:ascii="Times New Roman" w:hAnsi="Times New Roman"/>
          <w:sz w:val="24"/>
          <w:szCs w:val="24"/>
        </w:rPr>
        <w:t xml:space="preserve">                              </w:t>
      </w:r>
      <w:r w:rsidRPr="00AD0FC6">
        <w:rPr>
          <w:rFonts w:ascii="Times New Roman" w:hAnsi="Times New Roman"/>
          <w:sz w:val="24"/>
          <w:szCs w:val="24"/>
        </w:rPr>
        <w:t xml:space="preserve"> с. Кетово</w:t>
      </w:r>
    </w:p>
    <w:p w:rsidR="00847857" w:rsidRPr="00AD0FC6" w:rsidRDefault="00847857" w:rsidP="008478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AC9" w:rsidRPr="00AD0FC6" w:rsidRDefault="000F5AC9" w:rsidP="008478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AC9" w:rsidRPr="00AD0FC6" w:rsidRDefault="000F5AC9" w:rsidP="008478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3418" w:rsidRDefault="00847857" w:rsidP="00AF1977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0FC6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Постановление Администрации Кетовского муниципального округа Курганской области № 786 от 17 апреля 2023 г. «</w:t>
      </w:r>
      <w:r w:rsidR="00EB56CA" w:rsidRPr="00AD0FC6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Положения об отраслевой системе оплаты труда работников муниципальных учреждений культуры, подведомственных Управлению культуры Администрации Кетовского муниципального округа </w:t>
      </w:r>
    </w:p>
    <w:p w:rsidR="00847857" w:rsidRPr="00AD0FC6" w:rsidRDefault="00EB56CA" w:rsidP="00AF1977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0FC6">
        <w:rPr>
          <w:rFonts w:ascii="Times New Roman" w:hAnsi="Times New Roman" w:cs="Times New Roman"/>
          <w:color w:val="000000"/>
          <w:sz w:val="24"/>
          <w:szCs w:val="24"/>
        </w:rPr>
        <w:t>Курганской области</w:t>
      </w:r>
      <w:r w:rsidR="00847857" w:rsidRPr="00AD0FC6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F5AC9" w:rsidRPr="00AD0FC6" w:rsidRDefault="000F5AC9" w:rsidP="00AF197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A58FB" w:rsidRPr="00AD0FC6" w:rsidRDefault="00EA58FB" w:rsidP="000B08D6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A320A" w:rsidRPr="00AD0FC6" w:rsidRDefault="00EA320A" w:rsidP="000F5AC9">
      <w:pPr>
        <w:widowControl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D0FC6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Федеральным законом от 06.10.2003г. №131 – ФЗ «Об общих принципах организации местного самоуправления в Российской Федерации», Трудовым Кодексом Российской Федерации, Уставом Кетовского муниципального округа Курганской областив целях </w:t>
      </w:r>
      <w:proofErr w:type="gramStart"/>
      <w:r w:rsidRPr="00AD0FC6">
        <w:rPr>
          <w:rFonts w:ascii="Times New Roman" w:hAnsi="Times New Roman"/>
          <w:sz w:val="24"/>
          <w:szCs w:val="24"/>
          <w:shd w:val="clear" w:color="auto" w:fill="FFFFFF"/>
        </w:rPr>
        <w:t>упорядочения оплаты труда работников органов исполнительной власти муниципального образования</w:t>
      </w:r>
      <w:proofErr w:type="gramEnd"/>
      <w:r w:rsidRPr="00AD0FC6">
        <w:rPr>
          <w:rFonts w:ascii="Times New Roman" w:hAnsi="Times New Roman"/>
          <w:sz w:val="24"/>
          <w:szCs w:val="24"/>
          <w:shd w:val="clear" w:color="auto" w:fill="FFFFFF"/>
        </w:rPr>
        <w:t xml:space="preserve"> Кетовский муниципальный округ Курганской области Администрация К</w:t>
      </w:r>
      <w:r w:rsidR="002C2E64" w:rsidRPr="00AD0FC6">
        <w:rPr>
          <w:rFonts w:ascii="Times New Roman" w:hAnsi="Times New Roman"/>
          <w:sz w:val="24"/>
          <w:szCs w:val="24"/>
          <w:shd w:val="clear" w:color="auto" w:fill="FFFFFF"/>
        </w:rPr>
        <w:t xml:space="preserve">етовского муниципального округа </w:t>
      </w:r>
      <w:r w:rsidRPr="00AD0FC6">
        <w:rPr>
          <w:rFonts w:ascii="Times New Roman" w:hAnsi="Times New Roman"/>
          <w:sz w:val="24"/>
          <w:szCs w:val="24"/>
          <w:shd w:val="clear" w:color="auto" w:fill="FFFFFF"/>
        </w:rPr>
        <w:t>ПОСТАНОВЛЯЕТ:</w:t>
      </w:r>
    </w:p>
    <w:p w:rsidR="00847857" w:rsidRPr="00AD0FC6" w:rsidRDefault="00CA2392" w:rsidP="000F5AC9">
      <w:pPr>
        <w:pStyle w:val="a6"/>
        <w:widowControl w:val="0"/>
        <w:spacing w:after="0" w:line="240" w:lineRule="auto"/>
        <w:ind w:left="0" w:firstLine="992"/>
        <w:jc w:val="both"/>
        <w:rPr>
          <w:rFonts w:ascii="Times New Roman" w:hAnsi="Times New Roman"/>
          <w:sz w:val="24"/>
          <w:szCs w:val="24"/>
        </w:rPr>
      </w:pPr>
      <w:r w:rsidRPr="00AD0FC6">
        <w:rPr>
          <w:rFonts w:ascii="Times New Roman" w:hAnsi="Times New Roman"/>
          <w:sz w:val="24"/>
          <w:szCs w:val="24"/>
        </w:rPr>
        <w:t>1</w:t>
      </w:r>
      <w:r w:rsidR="002C2E64" w:rsidRPr="00AD0FC6">
        <w:rPr>
          <w:rFonts w:ascii="Times New Roman" w:hAnsi="Times New Roman"/>
          <w:sz w:val="24"/>
          <w:szCs w:val="24"/>
        </w:rPr>
        <w:t xml:space="preserve">. </w:t>
      </w:r>
      <w:r w:rsidR="00E61E4C" w:rsidRPr="00AD0FC6">
        <w:rPr>
          <w:rFonts w:ascii="Times New Roman" w:hAnsi="Times New Roman"/>
          <w:sz w:val="24"/>
          <w:szCs w:val="24"/>
        </w:rPr>
        <w:t xml:space="preserve">Пункт </w:t>
      </w:r>
      <w:r w:rsidRPr="00AD0FC6">
        <w:rPr>
          <w:rFonts w:ascii="Times New Roman" w:hAnsi="Times New Roman"/>
          <w:sz w:val="24"/>
          <w:szCs w:val="24"/>
        </w:rPr>
        <w:t>13</w:t>
      </w:r>
      <w:r w:rsidR="00E61E4C" w:rsidRPr="00AD0FC6">
        <w:rPr>
          <w:rFonts w:ascii="Times New Roman" w:hAnsi="Times New Roman"/>
          <w:sz w:val="24"/>
          <w:szCs w:val="24"/>
        </w:rPr>
        <w:t xml:space="preserve"> Раздела </w:t>
      </w:r>
      <w:r w:rsidRPr="00AD0FC6">
        <w:rPr>
          <w:rFonts w:ascii="Times New Roman" w:hAnsi="Times New Roman"/>
          <w:sz w:val="24"/>
          <w:szCs w:val="24"/>
          <w:lang w:val="en-US"/>
        </w:rPr>
        <w:t>III</w:t>
      </w:r>
      <w:r w:rsidR="00E61E4C" w:rsidRPr="00AD0FC6">
        <w:rPr>
          <w:rFonts w:ascii="Times New Roman" w:hAnsi="Times New Roman"/>
          <w:sz w:val="24"/>
          <w:szCs w:val="24"/>
        </w:rPr>
        <w:t>«</w:t>
      </w:r>
      <w:r w:rsidRPr="00AD0FC6">
        <w:rPr>
          <w:rFonts w:ascii="Times New Roman" w:hAnsi="Times New Roman"/>
          <w:sz w:val="24"/>
          <w:szCs w:val="24"/>
        </w:rPr>
        <w:t>Порядок определения размера должностных окладов работников учреждения, за исключением руководителя учреждения, заместителей руководителя учреждения</w:t>
      </w:r>
      <w:proofErr w:type="gramStart"/>
      <w:r w:rsidR="005A2B75" w:rsidRPr="00AD0FC6">
        <w:rPr>
          <w:rFonts w:ascii="Times New Roman" w:hAnsi="Times New Roman"/>
          <w:sz w:val="24"/>
          <w:szCs w:val="24"/>
        </w:rPr>
        <w:t>»</w:t>
      </w:r>
      <w:r w:rsidR="00181083" w:rsidRPr="00AD0FC6">
        <w:rPr>
          <w:rFonts w:ascii="Times New Roman" w:hAnsi="Times New Roman"/>
          <w:sz w:val="24"/>
          <w:szCs w:val="24"/>
        </w:rPr>
        <w:t>ч</w:t>
      </w:r>
      <w:proofErr w:type="gramEnd"/>
      <w:r w:rsidR="00181083" w:rsidRPr="00AD0FC6">
        <w:rPr>
          <w:rFonts w:ascii="Times New Roman" w:hAnsi="Times New Roman"/>
          <w:sz w:val="24"/>
          <w:szCs w:val="24"/>
        </w:rPr>
        <w:t>итать</w:t>
      </w:r>
      <w:r w:rsidR="00E61E4C" w:rsidRPr="00AD0FC6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CA2392" w:rsidRDefault="00CA2392" w:rsidP="00CA2392">
      <w:pPr>
        <w:spacing w:after="0" w:line="240" w:lineRule="auto"/>
        <w:ind w:firstLine="992"/>
        <w:jc w:val="right"/>
        <w:rPr>
          <w:rFonts w:ascii="Times New Roman" w:hAnsi="Times New Roman"/>
          <w:sz w:val="24"/>
          <w:szCs w:val="24"/>
        </w:rPr>
      </w:pPr>
      <w:r w:rsidRPr="00AD0FC6">
        <w:rPr>
          <w:rFonts w:ascii="Times New Roman" w:hAnsi="Times New Roman"/>
          <w:sz w:val="24"/>
          <w:szCs w:val="24"/>
        </w:rPr>
        <w:t>Таблица №1</w:t>
      </w:r>
    </w:p>
    <w:p w:rsidR="00043418" w:rsidRPr="00AD0FC6" w:rsidRDefault="00043418" w:rsidP="00CA2392">
      <w:pPr>
        <w:spacing w:after="0" w:line="240" w:lineRule="auto"/>
        <w:ind w:firstLine="992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6"/>
        <w:gridCol w:w="2360"/>
        <w:gridCol w:w="3661"/>
      </w:tblGrid>
      <w:tr w:rsidR="004245DB" w:rsidRPr="00AD0FC6" w:rsidTr="00043418">
        <w:trPr>
          <w:trHeight w:val="487"/>
          <w:jc w:val="center"/>
        </w:trPr>
        <w:tc>
          <w:tcPr>
            <w:tcW w:w="4226" w:type="dxa"/>
          </w:tcPr>
          <w:p w:rsidR="00A531CD" w:rsidRPr="00AD0FC6" w:rsidRDefault="00A531CD" w:rsidP="00A53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5DB" w:rsidRPr="00AD0FC6" w:rsidRDefault="004245DB" w:rsidP="00A53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C6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2360" w:type="dxa"/>
          </w:tcPr>
          <w:p w:rsidR="00A531CD" w:rsidRPr="00AD0FC6" w:rsidRDefault="00A531CD" w:rsidP="00424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5DB" w:rsidRPr="00AD0FC6" w:rsidRDefault="004245DB" w:rsidP="00424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C6">
              <w:rPr>
                <w:rFonts w:ascii="Times New Roman" w:hAnsi="Times New Roman"/>
                <w:sz w:val="24"/>
                <w:szCs w:val="24"/>
              </w:rPr>
              <w:t>Должностной оклад, рублей</w:t>
            </w:r>
          </w:p>
        </w:tc>
        <w:tc>
          <w:tcPr>
            <w:tcW w:w="3661" w:type="dxa"/>
          </w:tcPr>
          <w:p w:rsidR="004245DB" w:rsidRPr="00AD0FC6" w:rsidRDefault="004245DB" w:rsidP="00424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C6">
              <w:rPr>
                <w:rFonts w:ascii="Times New Roman" w:hAnsi="Times New Roman"/>
                <w:sz w:val="24"/>
                <w:szCs w:val="24"/>
              </w:rPr>
              <w:t>Должностной оклад с учетом 25 % за работу в сельской местности, рублей</w:t>
            </w:r>
          </w:p>
        </w:tc>
      </w:tr>
      <w:tr w:rsidR="004245DB" w:rsidRPr="00AD0FC6" w:rsidTr="00043418">
        <w:trPr>
          <w:trHeight w:val="583"/>
          <w:jc w:val="center"/>
        </w:trPr>
        <w:tc>
          <w:tcPr>
            <w:tcW w:w="4226" w:type="dxa"/>
          </w:tcPr>
          <w:p w:rsidR="004245DB" w:rsidRPr="00AD0FC6" w:rsidRDefault="004245DB" w:rsidP="000D6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F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D0FC6">
              <w:rPr>
                <w:rFonts w:ascii="Times New Roman" w:hAnsi="Times New Roman"/>
                <w:sz w:val="24"/>
                <w:szCs w:val="24"/>
              </w:rPr>
              <w:t xml:space="preserve"> Должности технических исполнителей и артистов вспомогательного состава</w:t>
            </w:r>
          </w:p>
        </w:tc>
        <w:tc>
          <w:tcPr>
            <w:tcW w:w="2360" w:type="dxa"/>
          </w:tcPr>
          <w:p w:rsidR="00A531CD" w:rsidRPr="00AD0FC6" w:rsidRDefault="00A531CD" w:rsidP="000D6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5DB" w:rsidRPr="00AD0FC6" w:rsidRDefault="00181083" w:rsidP="000D6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C6">
              <w:rPr>
                <w:rFonts w:ascii="Times New Roman" w:hAnsi="Times New Roman"/>
                <w:sz w:val="24"/>
                <w:szCs w:val="24"/>
              </w:rPr>
              <w:t>15 440,00</w:t>
            </w:r>
          </w:p>
        </w:tc>
        <w:tc>
          <w:tcPr>
            <w:tcW w:w="3661" w:type="dxa"/>
            <w:vAlign w:val="center"/>
          </w:tcPr>
          <w:p w:rsidR="004245DB" w:rsidRPr="00AD0FC6" w:rsidRDefault="004245DB" w:rsidP="00A53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C6">
              <w:rPr>
                <w:rFonts w:ascii="Times New Roman" w:hAnsi="Times New Roman"/>
                <w:sz w:val="24"/>
                <w:szCs w:val="24"/>
              </w:rPr>
              <w:t>19300,00</w:t>
            </w:r>
          </w:p>
        </w:tc>
      </w:tr>
      <w:tr w:rsidR="004245DB" w:rsidRPr="00AD0FC6" w:rsidTr="00043418">
        <w:trPr>
          <w:trHeight w:val="407"/>
          <w:jc w:val="center"/>
        </w:trPr>
        <w:tc>
          <w:tcPr>
            <w:tcW w:w="4226" w:type="dxa"/>
          </w:tcPr>
          <w:p w:rsidR="004245DB" w:rsidRPr="00AD0FC6" w:rsidRDefault="004245DB" w:rsidP="000D6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F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D0FC6">
              <w:rPr>
                <w:rFonts w:ascii="Times New Roman" w:hAnsi="Times New Roman"/>
                <w:sz w:val="24"/>
                <w:szCs w:val="24"/>
              </w:rPr>
              <w:t xml:space="preserve"> Должности работников культуры среднего звена</w:t>
            </w:r>
          </w:p>
        </w:tc>
        <w:tc>
          <w:tcPr>
            <w:tcW w:w="2360" w:type="dxa"/>
          </w:tcPr>
          <w:p w:rsidR="004245DB" w:rsidRPr="00AD0FC6" w:rsidRDefault="00181083" w:rsidP="00A531C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C6">
              <w:rPr>
                <w:rFonts w:ascii="Times New Roman" w:hAnsi="Times New Roman"/>
                <w:sz w:val="24"/>
                <w:szCs w:val="24"/>
              </w:rPr>
              <w:t>15 400,00</w:t>
            </w:r>
          </w:p>
        </w:tc>
        <w:tc>
          <w:tcPr>
            <w:tcW w:w="3661" w:type="dxa"/>
            <w:vAlign w:val="center"/>
          </w:tcPr>
          <w:p w:rsidR="004245DB" w:rsidRPr="00AD0FC6" w:rsidRDefault="004245DB" w:rsidP="000D6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C6">
              <w:rPr>
                <w:rFonts w:ascii="Times New Roman" w:hAnsi="Times New Roman"/>
                <w:sz w:val="24"/>
                <w:szCs w:val="24"/>
              </w:rPr>
              <w:t>19300,00</w:t>
            </w:r>
          </w:p>
        </w:tc>
      </w:tr>
      <w:tr w:rsidR="004245DB" w:rsidRPr="00AD0FC6" w:rsidTr="00043418">
        <w:trPr>
          <w:trHeight w:val="487"/>
          <w:jc w:val="center"/>
        </w:trPr>
        <w:tc>
          <w:tcPr>
            <w:tcW w:w="4226" w:type="dxa"/>
          </w:tcPr>
          <w:p w:rsidR="004245DB" w:rsidRPr="00AD0FC6" w:rsidRDefault="004245DB" w:rsidP="000D6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FC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D0FC6">
              <w:rPr>
                <w:rFonts w:ascii="Times New Roman" w:hAnsi="Times New Roman"/>
                <w:sz w:val="24"/>
                <w:szCs w:val="24"/>
              </w:rPr>
              <w:t xml:space="preserve"> Должности работников культуры ведущего звена</w:t>
            </w:r>
          </w:p>
        </w:tc>
        <w:tc>
          <w:tcPr>
            <w:tcW w:w="2360" w:type="dxa"/>
          </w:tcPr>
          <w:p w:rsidR="004245DB" w:rsidRPr="00AD0FC6" w:rsidRDefault="00181083" w:rsidP="00A531C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C6">
              <w:rPr>
                <w:rFonts w:ascii="Times New Roman" w:hAnsi="Times New Roman"/>
                <w:sz w:val="24"/>
                <w:szCs w:val="24"/>
              </w:rPr>
              <w:t>18 400,00</w:t>
            </w:r>
          </w:p>
        </w:tc>
        <w:tc>
          <w:tcPr>
            <w:tcW w:w="3661" w:type="dxa"/>
            <w:vAlign w:val="center"/>
          </w:tcPr>
          <w:p w:rsidR="004245DB" w:rsidRPr="00AD0FC6" w:rsidRDefault="004245DB" w:rsidP="000D6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C6">
              <w:rPr>
                <w:rFonts w:ascii="Times New Roman" w:hAnsi="Times New Roman"/>
                <w:sz w:val="24"/>
                <w:szCs w:val="24"/>
              </w:rPr>
              <w:t>23000,00</w:t>
            </w:r>
          </w:p>
        </w:tc>
      </w:tr>
      <w:tr w:rsidR="004245DB" w:rsidRPr="00AD0FC6" w:rsidTr="00043418">
        <w:trPr>
          <w:trHeight w:val="500"/>
          <w:jc w:val="center"/>
        </w:trPr>
        <w:tc>
          <w:tcPr>
            <w:tcW w:w="4226" w:type="dxa"/>
          </w:tcPr>
          <w:p w:rsidR="004245DB" w:rsidRPr="00AD0FC6" w:rsidRDefault="004245DB" w:rsidP="000D6B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FC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D0FC6">
              <w:rPr>
                <w:rFonts w:ascii="Times New Roman" w:hAnsi="Times New Roman"/>
                <w:sz w:val="24"/>
                <w:szCs w:val="24"/>
              </w:rPr>
              <w:t xml:space="preserve"> Должности работников культуры руководящего звена</w:t>
            </w:r>
          </w:p>
        </w:tc>
        <w:tc>
          <w:tcPr>
            <w:tcW w:w="2360" w:type="dxa"/>
          </w:tcPr>
          <w:p w:rsidR="004245DB" w:rsidRPr="00AD0FC6" w:rsidRDefault="00181083" w:rsidP="00A531C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C6">
              <w:rPr>
                <w:rFonts w:ascii="Times New Roman" w:hAnsi="Times New Roman"/>
                <w:sz w:val="24"/>
                <w:szCs w:val="24"/>
              </w:rPr>
              <w:t>21 360,00</w:t>
            </w:r>
          </w:p>
        </w:tc>
        <w:tc>
          <w:tcPr>
            <w:tcW w:w="3661" w:type="dxa"/>
            <w:vAlign w:val="center"/>
          </w:tcPr>
          <w:p w:rsidR="004245DB" w:rsidRPr="00AD0FC6" w:rsidRDefault="004245DB" w:rsidP="000D6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C6">
              <w:rPr>
                <w:rFonts w:ascii="Times New Roman" w:hAnsi="Times New Roman"/>
                <w:sz w:val="24"/>
                <w:szCs w:val="24"/>
              </w:rPr>
              <w:t>26700,00</w:t>
            </w:r>
          </w:p>
        </w:tc>
      </w:tr>
    </w:tbl>
    <w:p w:rsidR="00181083" w:rsidRPr="00AD0FC6" w:rsidRDefault="00181083" w:rsidP="008A051A">
      <w:pPr>
        <w:pStyle w:val="a6"/>
        <w:widowControl w:val="0"/>
        <w:spacing w:after="0" w:line="240" w:lineRule="auto"/>
        <w:ind w:left="0" w:firstLine="992"/>
        <w:jc w:val="both"/>
        <w:rPr>
          <w:rFonts w:ascii="Times New Roman" w:hAnsi="Times New Roman"/>
          <w:sz w:val="24"/>
          <w:szCs w:val="24"/>
        </w:rPr>
      </w:pPr>
    </w:p>
    <w:p w:rsidR="008A051A" w:rsidRPr="00AD0FC6" w:rsidRDefault="008A051A" w:rsidP="008A051A">
      <w:pPr>
        <w:pStyle w:val="a6"/>
        <w:widowControl w:val="0"/>
        <w:spacing w:after="0" w:line="240" w:lineRule="auto"/>
        <w:ind w:left="0" w:firstLine="992"/>
        <w:jc w:val="both"/>
        <w:rPr>
          <w:rFonts w:ascii="Times New Roman" w:hAnsi="Times New Roman"/>
          <w:sz w:val="24"/>
          <w:szCs w:val="24"/>
        </w:rPr>
      </w:pPr>
      <w:r w:rsidRPr="00AD0FC6">
        <w:rPr>
          <w:rFonts w:ascii="Times New Roman" w:hAnsi="Times New Roman"/>
          <w:sz w:val="24"/>
          <w:szCs w:val="24"/>
        </w:rPr>
        <w:t xml:space="preserve">2. Пункт 44 параграфа 2 Раздела </w:t>
      </w:r>
      <w:r w:rsidRPr="00AD0FC6">
        <w:rPr>
          <w:rFonts w:ascii="Times New Roman" w:hAnsi="Times New Roman"/>
          <w:sz w:val="24"/>
          <w:szCs w:val="24"/>
          <w:lang w:val="en-US"/>
        </w:rPr>
        <w:t>VI</w:t>
      </w:r>
      <w:r w:rsidRPr="00AD0FC6">
        <w:rPr>
          <w:rFonts w:ascii="Times New Roman" w:hAnsi="Times New Roman"/>
          <w:sz w:val="24"/>
          <w:szCs w:val="24"/>
        </w:rPr>
        <w:t xml:space="preserve"> «Порядок и условия оплаты труда руководителя учреждения, заместителей руководителя учреждений» </w:t>
      </w:r>
      <w:r w:rsidR="00181083" w:rsidRPr="00AD0FC6">
        <w:rPr>
          <w:rFonts w:ascii="Times New Roman" w:hAnsi="Times New Roman"/>
          <w:sz w:val="24"/>
          <w:szCs w:val="24"/>
        </w:rPr>
        <w:t>читать</w:t>
      </w:r>
      <w:r w:rsidRPr="00AD0FC6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181083" w:rsidRPr="00AD0FC6" w:rsidRDefault="00181083" w:rsidP="008A051A">
      <w:pPr>
        <w:widowControl w:val="0"/>
        <w:spacing w:after="0" w:line="240" w:lineRule="auto"/>
        <w:ind w:firstLine="8505"/>
        <w:rPr>
          <w:rFonts w:ascii="Times New Roman" w:hAnsi="Times New Roman"/>
          <w:sz w:val="24"/>
          <w:szCs w:val="24"/>
        </w:rPr>
      </w:pPr>
    </w:p>
    <w:p w:rsidR="00181083" w:rsidRPr="00AD0FC6" w:rsidRDefault="00181083" w:rsidP="008A051A">
      <w:pPr>
        <w:widowControl w:val="0"/>
        <w:spacing w:after="0" w:line="240" w:lineRule="auto"/>
        <w:ind w:firstLine="8505"/>
        <w:rPr>
          <w:rFonts w:ascii="Times New Roman" w:hAnsi="Times New Roman"/>
          <w:sz w:val="24"/>
          <w:szCs w:val="24"/>
        </w:rPr>
      </w:pPr>
    </w:p>
    <w:p w:rsidR="00181083" w:rsidRPr="00AD0FC6" w:rsidRDefault="00181083" w:rsidP="008A051A">
      <w:pPr>
        <w:widowControl w:val="0"/>
        <w:spacing w:after="0" w:line="240" w:lineRule="auto"/>
        <w:ind w:firstLine="8505"/>
        <w:rPr>
          <w:rFonts w:ascii="Times New Roman" w:hAnsi="Times New Roman"/>
          <w:sz w:val="24"/>
          <w:szCs w:val="24"/>
        </w:rPr>
      </w:pPr>
    </w:p>
    <w:p w:rsidR="00181083" w:rsidRPr="00AD0FC6" w:rsidRDefault="00181083" w:rsidP="008A051A">
      <w:pPr>
        <w:widowControl w:val="0"/>
        <w:spacing w:after="0" w:line="240" w:lineRule="auto"/>
        <w:ind w:firstLine="8505"/>
        <w:rPr>
          <w:rFonts w:ascii="Times New Roman" w:hAnsi="Times New Roman"/>
          <w:sz w:val="24"/>
          <w:szCs w:val="24"/>
        </w:rPr>
      </w:pPr>
    </w:p>
    <w:p w:rsidR="00181083" w:rsidRPr="00AD0FC6" w:rsidRDefault="00181083" w:rsidP="008A051A">
      <w:pPr>
        <w:widowControl w:val="0"/>
        <w:spacing w:after="0" w:line="240" w:lineRule="auto"/>
        <w:ind w:firstLine="8505"/>
        <w:rPr>
          <w:rFonts w:ascii="Times New Roman" w:hAnsi="Times New Roman"/>
          <w:sz w:val="24"/>
          <w:szCs w:val="24"/>
        </w:rPr>
      </w:pPr>
    </w:p>
    <w:p w:rsidR="00181083" w:rsidRPr="00AD0FC6" w:rsidRDefault="00181083" w:rsidP="008A051A">
      <w:pPr>
        <w:widowControl w:val="0"/>
        <w:spacing w:after="0" w:line="240" w:lineRule="auto"/>
        <w:ind w:firstLine="8505"/>
        <w:rPr>
          <w:rFonts w:ascii="Times New Roman" w:hAnsi="Times New Roman"/>
          <w:sz w:val="24"/>
          <w:szCs w:val="24"/>
        </w:rPr>
      </w:pPr>
    </w:p>
    <w:p w:rsidR="006B60BD" w:rsidRDefault="006B60BD" w:rsidP="008A051A">
      <w:pPr>
        <w:widowControl w:val="0"/>
        <w:spacing w:after="0" w:line="240" w:lineRule="auto"/>
        <w:ind w:firstLine="8505"/>
        <w:rPr>
          <w:rFonts w:ascii="Times New Roman" w:hAnsi="Times New Roman"/>
          <w:sz w:val="24"/>
          <w:szCs w:val="24"/>
        </w:rPr>
      </w:pPr>
    </w:p>
    <w:p w:rsidR="008A051A" w:rsidRDefault="008A051A" w:rsidP="008A051A">
      <w:pPr>
        <w:widowControl w:val="0"/>
        <w:spacing w:after="0" w:line="240" w:lineRule="auto"/>
        <w:ind w:firstLine="8505"/>
        <w:rPr>
          <w:rFonts w:ascii="Times New Roman" w:hAnsi="Times New Roman"/>
          <w:sz w:val="24"/>
          <w:szCs w:val="24"/>
        </w:rPr>
      </w:pPr>
      <w:r w:rsidRPr="00AD0FC6">
        <w:rPr>
          <w:rFonts w:ascii="Times New Roman" w:hAnsi="Times New Roman"/>
          <w:sz w:val="24"/>
          <w:szCs w:val="24"/>
        </w:rPr>
        <w:lastRenderedPageBreak/>
        <w:t>Таблица 2</w:t>
      </w:r>
    </w:p>
    <w:p w:rsidR="00043418" w:rsidRPr="00AD0FC6" w:rsidRDefault="00043418" w:rsidP="008A051A">
      <w:pPr>
        <w:widowControl w:val="0"/>
        <w:spacing w:after="0" w:line="240" w:lineRule="auto"/>
        <w:ind w:firstLine="850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2410"/>
        <w:gridCol w:w="3940"/>
      </w:tblGrid>
      <w:tr w:rsidR="00A531CD" w:rsidRPr="00AD0FC6" w:rsidTr="00043418">
        <w:trPr>
          <w:trHeight w:val="471"/>
        </w:trPr>
        <w:tc>
          <w:tcPr>
            <w:tcW w:w="4248" w:type="dxa"/>
            <w:shd w:val="clear" w:color="auto" w:fill="auto"/>
          </w:tcPr>
          <w:p w:rsidR="00A531CD" w:rsidRPr="00AD0FC6" w:rsidRDefault="00A531CD" w:rsidP="00A531CD">
            <w:pPr>
              <w:widowControl w:val="0"/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1CD" w:rsidRPr="00AD0FC6" w:rsidRDefault="00A531CD" w:rsidP="00A531CD">
            <w:pPr>
              <w:widowControl w:val="0"/>
              <w:tabs>
                <w:tab w:val="left" w:pos="2595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C6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2410" w:type="dxa"/>
          </w:tcPr>
          <w:p w:rsidR="00A531CD" w:rsidRPr="00AD0FC6" w:rsidRDefault="00A531CD" w:rsidP="00D53C6C">
            <w:pPr>
              <w:widowControl w:val="0"/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1CD" w:rsidRPr="00AD0FC6" w:rsidRDefault="00A531CD" w:rsidP="00D53C6C">
            <w:pPr>
              <w:widowControl w:val="0"/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C6">
              <w:rPr>
                <w:rFonts w:ascii="Times New Roman" w:hAnsi="Times New Roman"/>
                <w:sz w:val="24"/>
                <w:szCs w:val="24"/>
              </w:rPr>
              <w:t>Должностной оклад, рублей</w:t>
            </w:r>
          </w:p>
        </w:tc>
        <w:tc>
          <w:tcPr>
            <w:tcW w:w="3940" w:type="dxa"/>
            <w:shd w:val="clear" w:color="auto" w:fill="auto"/>
          </w:tcPr>
          <w:p w:rsidR="00A531CD" w:rsidRPr="00AD0FC6" w:rsidRDefault="00A531CD" w:rsidP="00D53C6C">
            <w:pPr>
              <w:widowControl w:val="0"/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C6">
              <w:rPr>
                <w:rFonts w:ascii="Times New Roman" w:hAnsi="Times New Roman"/>
                <w:sz w:val="24"/>
                <w:szCs w:val="24"/>
              </w:rPr>
              <w:t>Должностной оклад с учетом 25 % за работу в сельской местности, рублей</w:t>
            </w:r>
          </w:p>
        </w:tc>
      </w:tr>
      <w:tr w:rsidR="00A531CD" w:rsidRPr="00AD0FC6" w:rsidTr="00043418">
        <w:trPr>
          <w:trHeight w:val="600"/>
        </w:trPr>
        <w:tc>
          <w:tcPr>
            <w:tcW w:w="4248" w:type="dxa"/>
            <w:shd w:val="clear" w:color="auto" w:fill="auto"/>
          </w:tcPr>
          <w:p w:rsidR="00A531CD" w:rsidRPr="00AD0FC6" w:rsidRDefault="00A531CD" w:rsidP="00D53C6C">
            <w:pPr>
              <w:widowControl w:val="0"/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FC6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«Кетовская централизованная клубная система»</w:t>
            </w:r>
          </w:p>
        </w:tc>
        <w:tc>
          <w:tcPr>
            <w:tcW w:w="2410" w:type="dxa"/>
          </w:tcPr>
          <w:p w:rsidR="00A531CD" w:rsidRPr="00AD0FC6" w:rsidRDefault="00A531CD" w:rsidP="00D53C6C">
            <w:pPr>
              <w:widowControl w:val="0"/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1CD" w:rsidRPr="00AD0FC6" w:rsidRDefault="00181083" w:rsidP="00D53C6C">
            <w:pPr>
              <w:widowControl w:val="0"/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C6">
              <w:rPr>
                <w:rFonts w:ascii="Times New Roman" w:hAnsi="Times New Roman"/>
                <w:sz w:val="24"/>
                <w:szCs w:val="24"/>
              </w:rPr>
              <w:t>24 000,00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A531CD" w:rsidRPr="00AD0FC6" w:rsidRDefault="00A531CD" w:rsidP="00D53C6C">
            <w:pPr>
              <w:widowControl w:val="0"/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C6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</w:tr>
      <w:tr w:rsidR="00A531CD" w:rsidRPr="00AD0FC6" w:rsidTr="00043418">
        <w:trPr>
          <w:trHeight w:val="553"/>
        </w:trPr>
        <w:tc>
          <w:tcPr>
            <w:tcW w:w="4248" w:type="dxa"/>
            <w:shd w:val="clear" w:color="auto" w:fill="auto"/>
          </w:tcPr>
          <w:p w:rsidR="00A531CD" w:rsidRPr="00AD0FC6" w:rsidRDefault="00A531CD" w:rsidP="00D53C6C">
            <w:pPr>
              <w:widowControl w:val="0"/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FC6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«Кетовская централизованная библиотечная система»</w:t>
            </w:r>
          </w:p>
        </w:tc>
        <w:tc>
          <w:tcPr>
            <w:tcW w:w="2410" w:type="dxa"/>
          </w:tcPr>
          <w:p w:rsidR="00A531CD" w:rsidRPr="00AD0FC6" w:rsidRDefault="00A531CD" w:rsidP="00D53C6C">
            <w:pPr>
              <w:widowControl w:val="0"/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1CD" w:rsidRPr="00AD0FC6" w:rsidRDefault="00181083" w:rsidP="00A531CD">
            <w:pPr>
              <w:widowControl w:val="0"/>
              <w:tabs>
                <w:tab w:val="left" w:pos="2595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C6">
              <w:rPr>
                <w:rFonts w:ascii="Times New Roman" w:hAnsi="Times New Roman"/>
                <w:sz w:val="24"/>
                <w:szCs w:val="24"/>
              </w:rPr>
              <w:t>24 000,00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A531CD" w:rsidRPr="00AD0FC6" w:rsidRDefault="00A531CD" w:rsidP="00D53C6C">
            <w:pPr>
              <w:widowControl w:val="0"/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C6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</w:tr>
    </w:tbl>
    <w:p w:rsidR="00CA2392" w:rsidRPr="00AD0FC6" w:rsidRDefault="00CA2392" w:rsidP="000F5AC9">
      <w:pPr>
        <w:widowControl w:val="0"/>
        <w:spacing w:after="0" w:line="240" w:lineRule="auto"/>
        <w:ind w:firstLine="992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EB56CA" w:rsidRPr="00AD0FC6" w:rsidRDefault="00EE4600" w:rsidP="000F5AC9">
      <w:pPr>
        <w:widowControl w:val="0"/>
        <w:spacing w:after="0" w:line="240" w:lineRule="auto"/>
        <w:ind w:firstLine="992"/>
        <w:jc w:val="both"/>
        <w:rPr>
          <w:rFonts w:ascii="Times New Roman" w:hAnsi="Times New Roman"/>
          <w:spacing w:val="-6"/>
          <w:sz w:val="24"/>
          <w:szCs w:val="24"/>
        </w:rPr>
      </w:pPr>
      <w:r w:rsidRPr="00AD0FC6">
        <w:rPr>
          <w:rFonts w:ascii="Times New Roman" w:hAnsi="Times New Roman"/>
          <w:spacing w:val="-6"/>
          <w:sz w:val="24"/>
          <w:szCs w:val="24"/>
        </w:rPr>
        <w:t>3</w:t>
      </w:r>
      <w:r w:rsidR="002C2E64" w:rsidRPr="00AD0FC6">
        <w:rPr>
          <w:rFonts w:ascii="Times New Roman" w:hAnsi="Times New Roman"/>
          <w:spacing w:val="-6"/>
          <w:sz w:val="24"/>
          <w:szCs w:val="24"/>
        </w:rPr>
        <w:t xml:space="preserve">. </w:t>
      </w:r>
      <w:r w:rsidR="00B863EE" w:rsidRPr="00AD0FC6">
        <w:rPr>
          <w:rFonts w:ascii="Times New Roman" w:hAnsi="Times New Roman"/>
          <w:spacing w:val="-6"/>
          <w:sz w:val="24"/>
          <w:szCs w:val="24"/>
        </w:rPr>
        <w:t>Настоящее п</w:t>
      </w:r>
      <w:r w:rsidR="00EB56CA" w:rsidRPr="00AD0FC6">
        <w:rPr>
          <w:rFonts w:ascii="Times New Roman" w:hAnsi="Times New Roman"/>
          <w:spacing w:val="-6"/>
          <w:sz w:val="24"/>
          <w:szCs w:val="24"/>
        </w:rPr>
        <w:t>остановление подлежит официальному опубликованию в установленном порядке.</w:t>
      </w:r>
    </w:p>
    <w:p w:rsidR="00EB56CA" w:rsidRPr="00AD0FC6" w:rsidRDefault="00EE4600" w:rsidP="000F5AC9">
      <w:pPr>
        <w:widowControl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AD0FC6">
        <w:rPr>
          <w:rFonts w:ascii="Times New Roman" w:hAnsi="Times New Roman"/>
          <w:sz w:val="24"/>
          <w:szCs w:val="24"/>
        </w:rPr>
        <w:t>4</w:t>
      </w:r>
      <w:r w:rsidR="00EB56CA" w:rsidRPr="00AD0FC6">
        <w:rPr>
          <w:rFonts w:ascii="Times New Roman" w:hAnsi="Times New Roman"/>
          <w:sz w:val="24"/>
          <w:szCs w:val="24"/>
        </w:rPr>
        <w:t>. Настоящее решение вступает в силу после его опубликования</w:t>
      </w:r>
      <w:r w:rsidR="00B863EE" w:rsidRPr="00AD0FC6">
        <w:rPr>
          <w:rFonts w:ascii="Times New Roman" w:hAnsi="Times New Roman"/>
          <w:sz w:val="24"/>
          <w:szCs w:val="24"/>
        </w:rPr>
        <w:t xml:space="preserve"> и применяется к правоотношениям с 1 </w:t>
      </w:r>
      <w:r w:rsidR="00CA2392" w:rsidRPr="00AD0FC6">
        <w:rPr>
          <w:rFonts w:ascii="Times New Roman" w:hAnsi="Times New Roman"/>
          <w:sz w:val="24"/>
          <w:szCs w:val="24"/>
        </w:rPr>
        <w:t>мая</w:t>
      </w:r>
      <w:r w:rsidR="00B863EE" w:rsidRPr="00AD0FC6">
        <w:rPr>
          <w:rFonts w:ascii="Times New Roman" w:hAnsi="Times New Roman"/>
          <w:sz w:val="24"/>
          <w:szCs w:val="24"/>
        </w:rPr>
        <w:t xml:space="preserve"> 202</w:t>
      </w:r>
      <w:r w:rsidR="00CA2392" w:rsidRPr="00AD0FC6">
        <w:rPr>
          <w:rFonts w:ascii="Times New Roman" w:hAnsi="Times New Roman"/>
          <w:sz w:val="24"/>
          <w:szCs w:val="24"/>
        </w:rPr>
        <w:t>4</w:t>
      </w:r>
      <w:r w:rsidR="00B863EE" w:rsidRPr="00AD0FC6">
        <w:rPr>
          <w:rFonts w:ascii="Times New Roman" w:hAnsi="Times New Roman"/>
          <w:sz w:val="24"/>
          <w:szCs w:val="24"/>
        </w:rPr>
        <w:t xml:space="preserve"> г.</w:t>
      </w:r>
    </w:p>
    <w:p w:rsidR="00B863EE" w:rsidRPr="00AD0FC6" w:rsidRDefault="00EE4600" w:rsidP="000F5AC9">
      <w:pPr>
        <w:widowControl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AD0FC6">
        <w:rPr>
          <w:rFonts w:ascii="Times New Roman" w:hAnsi="Times New Roman"/>
          <w:sz w:val="24"/>
          <w:szCs w:val="24"/>
        </w:rPr>
        <w:t>5</w:t>
      </w:r>
      <w:r w:rsidR="00B863EE" w:rsidRPr="00AD0FC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863EE" w:rsidRPr="00AD0FC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863EE" w:rsidRPr="00AD0FC6">
        <w:rPr>
          <w:rFonts w:ascii="Times New Roman" w:hAnsi="Times New Roman"/>
          <w:sz w:val="24"/>
          <w:szCs w:val="24"/>
        </w:rPr>
        <w:t xml:space="preserve"> выполнением настоящего постановления возложить на заместителя Главы Кетовского муниципального округа по финансовой политике – руководителя Финансового управления.</w:t>
      </w:r>
    </w:p>
    <w:p w:rsidR="00B863EE" w:rsidRPr="00AD0FC6" w:rsidRDefault="00B863EE" w:rsidP="000F5AC9">
      <w:pPr>
        <w:widowControl w:val="0"/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</w:p>
    <w:p w:rsidR="00B863EE" w:rsidRPr="00AD0FC6" w:rsidRDefault="00B863EE" w:rsidP="00B863EE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F5AC9" w:rsidRPr="00AD0FC6" w:rsidRDefault="000F5AC9" w:rsidP="00B863EE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863EE" w:rsidRPr="00AD0FC6" w:rsidRDefault="00B863EE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0FC6">
        <w:rPr>
          <w:rFonts w:ascii="Times New Roman" w:hAnsi="Times New Roman"/>
          <w:sz w:val="24"/>
          <w:szCs w:val="24"/>
        </w:rPr>
        <w:t>Глава Кетовского муниципального округа</w:t>
      </w:r>
    </w:p>
    <w:p w:rsidR="00B863EE" w:rsidRPr="00AD0FC6" w:rsidRDefault="00B863EE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0FC6">
        <w:rPr>
          <w:rFonts w:ascii="Times New Roman" w:hAnsi="Times New Roman"/>
          <w:sz w:val="24"/>
          <w:szCs w:val="24"/>
        </w:rPr>
        <w:t xml:space="preserve">Курганской области                                                                                                     О.Н. </w:t>
      </w:r>
      <w:proofErr w:type="spellStart"/>
      <w:r w:rsidRPr="00AD0FC6">
        <w:rPr>
          <w:rFonts w:ascii="Times New Roman" w:hAnsi="Times New Roman"/>
          <w:sz w:val="24"/>
          <w:szCs w:val="24"/>
        </w:rPr>
        <w:t>Язовских</w:t>
      </w:r>
      <w:proofErr w:type="spellEnd"/>
    </w:p>
    <w:p w:rsidR="000F5AC9" w:rsidRPr="00AD0FC6" w:rsidRDefault="000F5AC9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AC9" w:rsidRPr="00AD0FC6" w:rsidRDefault="000F5AC9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392" w:rsidRPr="00AD0FC6" w:rsidRDefault="00CA2392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392" w:rsidRPr="00AD0FC6" w:rsidRDefault="00CA2392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392" w:rsidRPr="00AD0FC6" w:rsidRDefault="00CA2392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392" w:rsidRPr="00AD0FC6" w:rsidRDefault="00CA2392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392" w:rsidRPr="00AD0FC6" w:rsidRDefault="00CA2392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392" w:rsidRPr="00AD0FC6" w:rsidRDefault="00CA2392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A2392" w:rsidRPr="00AD0FC6" w:rsidRDefault="00CA2392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392" w:rsidRPr="00AD0FC6" w:rsidRDefault="00CA2392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392" w:rsidRPr="00AD0FC6" w:rsidRDefault="00CA2392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392" w:rsidRPr="00AD0FC6" w:rsidRDefault="00CA2392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392" w:rsidRPr="00AD0FC6" w:rsidRDefault="00CA2392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392" w:rsidRPr="00AD0FC6" w:rsidRDefault="00CA2392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392" w:rsidRPr="00AD0FC6" w:rsidRDefault="00CA2392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392" w:rsidRPr="00AD0FC6" w:rsidRDefault="00CA2392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392" w:rsidRPr="00AD0FC6" w:rsidRDefault="00CA2392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392" w:rsidRPr="00AD0FC6" w:rsidRDefault="00CA2392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392" w:rsidRPr="00AD0FC6" w:rsidRDefault="00CA2392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392" w:rsidRPr="00AD0FC6" w:rsidRDefault="00CA2392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392" w:rsidRPr="00AD0FC6" w:rsidRDefault="00CA2392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392" w:rsidRPr="00AD0FC6" w:rsidRDefault="00CA2392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392" w:rsidRPr="00AD0FC6" w:rsidRDefault="00CA2392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392" w:rsidRPr="00AD0FC6" w:rsidRDefault="00CA2392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392" w:rsidRPr="00AD0FC6" w:rsidRDefault="00CA2392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1A2" w:rsidRPr="006B60BD" w:rsidRDefault="000F5AC9" w:rsidP="00B863EE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B60BD">
        <w:rPr>
          <w:rFonts w:ascii="Times New Roman" w:hAnsi="Times New Roman"/>
          <w:sz w:val="20"/>
          <w:szCs w:val="20"/>
        </w:rPr>
        <w:t>Бабин Владимир Петрович</w:t>
      </w:r>
    </w:p>
    <w:p w:rsidR="006A61A2" w:rsidRPr="006B60BD" w:rsidRDefault="000F5AC9" w:rsidP="00B863EE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B60BD">
        <w:rPr>
          <w:rFonts w:ascii="Times New Roman" w:hAnsi="Times New Roman"/>
          <w:sz w:val="20"/>
          <w:szCs w:val="20"/>
        </w:rPr>
        <w:t>89919037328</w:t>
      </w:r>
    </w:p>
    <w:sectPr w:rsidR="006A61A2" w:rsidRPr="006B60BD" w:rsidSect="006B60BD">
      <w:pgSz w:w="11906" w:h="16838"/>
      <w:pgMar w:top="1134" w:right="567" w:bottom="113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14E48"/>
    <w:multiLevelType w:val="hybridMultilevel"/>
    <w:tmpl w:val="B7EEBB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0A960BE"/>
    <w:multiLevelType w:val="hybridMultilevel"/>
    <w:tmpl w:val="6122B9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7C30A0"/>
    <w:multiLevelType w:val="hybridMultilevel"/>
    <w:tmpl w:val="CABADA1A"/>
    <w:lvl w:ilvl="0" w:tplc="4CE2F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A52734"/>
    <w:multiLevelType w:val="hybridMultilevel"/>
    <w:tmpl w:val="698EE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857"/>
    <w:rsid w:val="00043418"/>
    <w:rsid w:val="000541B2"/>
    <w:rsid w:val="000B08D6"/>
    <w:rsid w:val="000D6BF5"/>
    <w:rsid w:val="000F5AC9"/>
    <w:rsid w:val="000F664B"/>
    <w:rsid w:val="00115ACB"/>
    <w:rsid w:val="001667C2"/>
    <w:rsid w:val="00181083"/>
    <w:rsid w:val="002407D5"/>
    <w:rsid w:val="00250E16"/>
    <w:rsid w:val="002A2700"/>
    <w:rsid w:val="002C2E64"/>
    <w:rsid w:val="004245DB"/>
    <w:rsid w:val="004647D5"/>
    <w:rsid w:val="005663A8"/>
    <w:rsid w:val="005A2B75"/>
    <w:rsid w:val="006A61A2"/>
    <w:rsid w:val="006B60BD"/>
    <w:rsid w:val="00705B51"/>
    <w:rsid w:val="00706B51"/>
    <w:rsid w:val="007A242A"/>
    <w:rsid w:val="00847857"/>
    <w:rsid w:val="008A051A"/>
    <w:rsid w:val="00A17E0B"/>
    <w:rsid w:val="00A531CD"/>
    <w:rsid w:val="00A97D39"/>
    <w:rsid w:val="00AD0FC6"/>
    <w:rsid w:val="00AE38A4"/>
    <w:rsid w:val="00AF1977"/>
    <w:rsid w:val="00B16F0C"/>
    <w:rsid w:val="00B863EE"/>
    <w:rsid w:val="00CA2392"/>
    <w:rsid w:val="00DD59A0"/>
    <w:rsid w:val="00E61E4C"/>
    <w:rsid w:val="00E95370"/>
    <w:rsid w:val="00EA320A"/>
    <w:rsid w:val="00EA58FB"/>
    <w:rsid w:val="00EB56CA"/>
    <w:rsid w:val="00EE4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5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47857"/>
    <w:pPr>
      <w:keepNext/>
      <w:spacing w:after="0" w:line="240" w:lineRule="auto"/>
      <w:jc w:val="center"/>
      <w:outlineLvl w:val="0"/>
    </w:pPr>
    <w:rPr>
      <w:rFonts w:ascii="Arial" w:hAnsi="Arial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84785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847857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857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85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478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847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E61E4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2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2E6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C2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A3206-83E5-40AF-B442-597FED51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2024-05-15T04:34:00Z</cp:lastPrinted>
  <dcterms:created xsi:type="dcterms:W3CDTF">2024-08-16T04:47:00Z</dcterms:created>
  <dcterms:modified xsi:type="dcterms:W3CDTF">2024-10-28T06:23:00Z</dcterms:modified>
</cp:coreProperties>
</file>