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F533FD" w14:paraId="60E9A54B" w14:textId="77777777" w:rsidTr="002C4DDA">
        <w:trPr>
          <w:trHeight w:val="1985"/>
        </w:trPr>
        <w:tc>
          <w:tcPr>
            <w:tcW w:w="7263" w:type="dxa"/>
          </w:tcPr>
          <w:p w14:paraId="3F178AFB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053B8818" w14:textId="5075B71B" w:rsidR="007428BE" w:rsidRPr="007428BE" w:rsidRDefault="002C4DDA" w:rsidP="007428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1C6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13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3C790C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марта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14F9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11499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1C695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74</w:t>
            </w:r>
            <w:r w:rsidR="00374C95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4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7428BE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      </w:r>
          </w:p>
          <w:p w14:paraId="57E0AA14" w14:textId="77777777" w:rsidR="002C4DDA" w:rsidRPr="002C4DDA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</w:tr>
    </w:tbl>
    <w:p w14:paraId="7E771AE3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3A4F8534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17B5F6C8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AC916CC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</w:t>
      </w:r>
    </w:p>
    <w:p w14:paraId="4F7C562B" w14:textId="77777777" w:rsidR="007428BE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Российская Федерация, Курганская область, муниципальный округ Кетовский, </w:t>
      </w:r>
    </w:p>
    <w:p w14:paraId="70028317" w14:textId="77777777" w:rsidR="00F57BD0" w:rsidRDefault="007428BE" w:rsidP="00646EC1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428BE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село Кетово, улица Ленина, 121</w:t>
      </w:r>
    </w:p>
    <w:p w14:paraId="2B6BF089" w14:textId="77777777" w:rsidR="002C4DDA" w:rsidRDefault="002C4DDA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DF89D97" w14:textId="77777777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275170E0" w14:textId="6FBAD7E0" w:rsidR="00A65551" w:rsidRPr="00A65551" w:rsidRDefault="002C4DDA" w:rsidP="00EC7673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A65551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287F157" w14:textId="4AF4AB03" w:rsidR="00A65551" w:rsidRPr="00A65551" w:rsidRDefault="002C4DDA" w:rsidP="00CF394C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A6555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A65551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A6555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A6555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</w:p>
    <w:p w14:paraId="4A33F867" w14:textId="4C437262" w:rsidR="00305D45" w:rsidRPr="00A65551" w:rsidRDefault="00BD4355" w:rsidP="009E7F7B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65551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A65551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114996" w:rsidRPr="00A65551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A65551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46CD5F02" w14:textId="747BB3DC" w:rsidR="007428BE" w:rsidRPr="00305D45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305D45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1C6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</w:t>
      </w:r>
      <w:r w:rsidR="003C790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марта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2331E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</w:t>
      </w:r>
      <w:r w:rsidR="0086445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1C695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745</w:t>
      </w:r>
      <w:r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«О проведении открытого аукциона в электронной форме на право заключения договора купли-продажи муниципального имущества: </w:t>
      </w:r>
      <w:r w:rsidR="007428BE" w:rsidRPr="00305D4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здания одновременно                    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  <w:r w:rsidR="0011499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FC2B687" w14:textId="77777777" w:rsidR="00C0218A" w:rsidRPr="007428BE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7428BE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7428BE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7BE13AF9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0AA04BCF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1 430 000</w:t>
      </w:r>
      <w:r w:rsidRPr="007428BE">
        <w:rPr>
          <w:rFonts w:ascii="Times New Roman" w:hAnsi="Times New Roman" w:cs="Times New Roman"/>
          <w:bCs/>
          <w:color w:val="FF0000"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копейки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   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один миллион четыреста тридцать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428906A9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1DD15FA8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044F76D8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71 500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(семь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десят одна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а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пятьсот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 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778EE287" w14:textId="25A14638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143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сто сорок три</w:t>
      </w:r>
      <w:r w:rsidR="004E2BF7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F61B6B">
        <w:rPr>
          <w:rFonts w:ascii="Times New Roman" w:hAnsi="Times New Roman" w:cs="Times New Roman"/>
          <w:bCs/>
          <w:sz w:val="24"/>
          <w:szCs w:val="24"/>
          <w:lang w:val="ru-RU"/>
        </w:rPr>
        <w:t>и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рублей                            00 копеек).</w:t>
      </w:r>
    </w:p>
    <w:p w14:paraId="3F955FBC" w14:textId="7E46B918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F533FD">
        <w:rPr>
          <w:rFonts w:ascii="Times New Roman" w:hAnsi="Times New Roman" w:cs="Times New Roman"/>
          <w:b/>
          <w:bCs/>
          <w:sz w:val="24"/>
          <w:szCs w:val="24"/>
          <w:lang w:val="ru-RU"/>
        </w:rPr>
        <w:t>08</w:t>
      </w:r>
      <w:r w:rsidR="003C790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апреля </w:t>
      </w:r>
      <w:r w:rsidR="001A1633">
        <w:rPr>
          <w:rFonts w:ascii="Times New Roman" w:hAnsi="Times New Roman" w:cs="Times New Roman"/>
          <w:b/>
          <w:bCs/>
          <w:sz w:val="24"/>
          <w:szCs w:val="24"/>
          <w:lang w:val="ru-RU"/>
        </w:rPr>
        <w:t>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0869187" w14:textId="02011D15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F61B6B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2589C6E7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31A0641C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712D57FE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73959299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C25E401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64A8CDE8" w14:textId="59EA9C8C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r w:rsidR="00F61B6B"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 w:rsidR="00F61B6B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3AF02B6D" w14:textId="39512C20" w:rsidR="00143539" w:rsidRPr="00D75B1E" w:rsidRDefault="00C0218A" w:rsidP="00143539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и время проведения аукциона: </w:t>
      </w:r>
      <w:r w:rsidR="003C790C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11.04</w:t>
      </w:r>
      <w:r w:rsid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</w:t>
      </w:r>
      <w:r w:rsidR="00114996">
        <w:rPr>
          <w:rFonts w:ascii="Times New Roman" w:eastAsia="Tahoma" w:hAnsi="Times New Roman" w:cs="Times New Roman"/>
          <w:sz w:val="24"/>
          <w:szCs w:val="24"/>
          <w:lang w:val="ru-RU" w:bidi="ru-RU"/>
        </w:rPr>
        <w:t>08</w:t>
      </w:r>
      <w:r w:rsidR="002806B8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: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>00 ч. по местному времени.</w:t>
      </w:r>
    </w:p>
    <w:p w14:paraId="2ABECEE3" w14:textId="5BE3EEB5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начала приема заявок на участие в аукционе: </w:t>
      </w:r>
      <w:r w:rsidR="003C790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14.03</w:t>
      </w:r>
      <w:r w:rsidR="00414F99" w:rsidRPr="00414F9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</w:t>
      </w:r>
      <w:r w:rsidR="00C0218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 08 часов 00 минут. Прием заявок осуществляется круглосуточно.</w:t>
      </w:r>
    </w:p>
    <w:p w14:paraId="7513AF95" w14:textId="635BA19C" w:rsidR="00143539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16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.</w:t>
      </w: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Дата и время окончания приема заявок на участие в аукционе: </w:t>
      </w:r>
      <w:r w:rsidR="00F533FD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08</w:t>
      </w:r>
      <w:r w:rsidR="003C790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.04</w:t>
      </w:r>
      <w:r w:rsidR="002C4DDA" w:rsidRPr="00F74849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 w:rsidR="002C4DDA" w:rsidRP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</w:t>
      </w:r>
      <w:r w:rsidR="00F61B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5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</w:t>
      </w:r>
      <w:r w:rsidR="00646EC1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16.00 ч. по местному времени.</w:t>
      </w:r>
    </w:p>
    <w:p w14:paraId="0F43CE29" w14:textId="364F4BD5" w:rsidR="002C4DDA" w:rsidRPr="00D75B1E" w:rsidRDefault="00143539" w:rsidP="0014353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2C4DDA" w:rsidRPr="00D75B1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3C790C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09.04</w:t>
      </w:r>
      <w:r w:rsidR="004E2BF7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</w:t>
      </w:r>
      <w:r w:rsidR="002C4DDA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202</w:t>
      </w:r>
      <w:r w:rsidR="00F61B6B" w:rsidRPr="00F61B6B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5</w:t>
      </w:r>
      <w:r w:rsidR="002C4DDA" w:rsidRPr="00D75B1E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3748A514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78F1D438" w14:textId="77777777" w:rsidR="007428BE" w:rsidRP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70674E05" w14:textId="77777777" w:rsidR="007428BE" w:rsidRDefault="007428BE" w:rsidP="007428BE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46290263" w14:textId="77777777" w:rsidR="00C26983" w:rsidRPr="00534902" w:rsidRDefault="00C26983" w:rsidP="007428B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45:00-6.213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05.05.2023, ограничение использования земельного участка в пределах зоны: Ограничения использования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недвижимости в границах зоны санитарной охраны, установленные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Постановление Главного государственного санитарного врача РФ от 14 марта 2002 г. N 10 "О введении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действие санитарных правил и норм "Зоны санитарной охраны источников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СанПиН 2.1.4.1110-02" по проекту "Зоны санитарной охраны источника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водоснабжения и водопроводов питьевого назначения. Очистные сооружения водопровода " от 24.11.2021г.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№ 56-ПД-ЗСО., вид/наименование: Зона санитарной охраны источника водоснабжения и водопроводов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питьевого назначения. Очистные сооружения водопровода «Арбинские» (ОСВ «Арбинские»). Третий пояс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ЗСО., тип: Зона санитарной охраны источников водоснабжения и водопроводов питьевого назначения,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номер: б/н, решения: 1. дата решения: 14.04.2023, номер решения: 09-08-03269/23, наименование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ОГВ/ОМСУ: Департамент гражданской защиты, охраны окружающей среды и природных ресурсов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Курганской области 2. дата решения: 14.03.2002, номер решения: 10,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Федеральной службы по надзору в сфере защиты прав потребителей и благополучия человека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3. дата решения: 11.04.2023, номер решения: 71-р, наименование ОГВ/ОМСУ: Департамент гражданской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защиты, охраны окружающей среды и природных ресурсов Курганской области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14.04.2023, номер решения: б/н 5. дата решения: 04.05.2023, номер решения: PVD-0041/2023-8795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Земельный участок полностью расположен в границах зоны с реестровым номером 45:00-6.192 от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13.09.2022, ограничение использования земельного участка в пределах зоны: В третьей подзоне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объекты высота которых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превышает ограничения, установленные уполномоченным Правительством Российской Федерации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федеральным органом исполнительной власти при установлении соответствующей приаэродромной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территории - Федеральным агентством воздушного транспорта. Ограничения высоты размещаемых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объектов установлены приказом Минтранса России от 25.08.2015 года № 262 "Об утверждении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Федеральных авиационных правил "Требования предъявляемые к аэродромам, прердназначенным для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взлета, посадки, руления и стоянки гражданских воздушных судов", вид/наименование: 3 Подзона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приаэродромной территории, тип: Зоны с особыми условиями использования территории, решения: 1. </w:t>
      </w:r>
      <w:r w:rsidR="007E5824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ата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12.09.2022, номер решения: PVD-0041/2022-22386-1 2. дата решения: 17.08.2022, номер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Исх-33512/04, наименование ОГВ/ОМСУ: Федеральное агентство воздушного транспорта (Росавиация) 3.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дата решения: 01.02.2021, номер решения: 53-П, наименование ОГВ/ОМСУ: Федеральное агентство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транспорта (Росавиация) 4. дата решения: 18.08.2022, номер решения: б/н Земельный участок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полностью расположен в</w:t>
      </w:r>
      <w:r w:rsidR="007428BE" w:rsidRPr="007428BE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границах зоны с реестровым номером 45:00-6.190 от 12.09.2022, ограничение использования земельного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участка в пределах зоны: ст. 47 Воздушного Кодекса РФ от 19.03.1997 г. В приаэродромной территории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аэродрома Курган устанавливаются ограничения использования земельных участков и (или)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расположенных на них объектов недвижимости и осуществления экономической или иной деятельности в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соотвествии с Воздушным Кодексом., вид/наименование: Приаэродромная территория аэродрома г. Курган,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тип: Зоны с особыми условиями использования территории,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1. дата решения: 12.09.2022, номер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решения: PVD-0041/2022-22374-1 2. дата решения: 17.08.2022, номер решения: Исх-33512/04,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3.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01.02.2021, номер решения: 53-П, наименование ОГВ/ОМСУ: Федеральное агентство воздушного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транспорта (Росавиация) 4. дата решения: 18.08.2022, номер решения: б/н Земельный участок полностью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расположен в границах зоны с реестровым номером 45:08-6.1149 от 16.04.2021, ограничение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земельного участка в пределах зоны: В соответствии с частью 6 статьи 67.1 Водного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кодекса Российской Федерации, в границах зон затопления, подтопления, в соответствии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законодательством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lastRenderedPageBreak/>
        <w:t>Российской Федерации о градостроительной деятельности отнесенных к зонам с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особыми условиями использования территорий, запрещаются: 1) размещение новых населенных пунктов 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строительство объектов капитального строительства без обеспечения инженерной защиты таких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населенных пунктов и объектов от затопления, подтопления; 2) использование сточных вод в целях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регулирования плодородия почв; 3) размещение кладбищ, скотомогильников, объектов размещения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отходов производства и потребления, химических, взрывчатых, токсичных, отравляющих и ядовитых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веществ, пунктов хранения и захоронения радиоактивных отходов; 4) осуществление авиационных мер по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борьбе с вредными организмами., вид/наименование: Зона затопления территории в границах Кетовского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р-на Курганской обл., затапливаемой водами р.Тобол и р. Нижний Утяк при половодьях и паводках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одно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процентной обеспеченности., тип: Иная зона с особыми условиями использования территории, номер: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б/н, решения: 1. дата решения: 15.04.2021, номер решения: PVD-0041/2021-10471-1 2.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12.04.2021, номер решения: 03-1144/02/21, наименование ОГВ/ОМСУ: Нижне-Обское бассейновое водное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управление 3. дата решения: 03.06.2006, номер решения: 74-ФЗ, наименование ОГВ/ОМСУ: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Государственная Дума 4. дата решения: 25.02.2021, номер решения: 30, наименование ОГВ/ОМСУ: Нижне-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Обское бассейновое водное управление 5. дата решения: 04.02.2021, номер решения: 10-23/917,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Управление Росреестра по Курганской области 6. дата решения: 12.04.2021,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номер решения: б/н Земельный участок полностью расположен в границах зоны с реестровым номером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45:00-6.194 от 13.09.2022, ограничение использования земельного участка в пределах зоны: ст. 47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Воздушного кодекса РФ. В пятой подзоне</w:t>
      </w:r>
      <w:r w:rsidR="007428BE" w:rsidRPr="007E5824">
        <w:rPr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приаэродромной территории аэродрома Курган запрещается размещать опасные производственные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объекты, определенные Федеральным законом от 21.07.1997 № 116-ФЗ «О промышленной безопасности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опасных производственных объектов», не относящиеся к инфраструктуре аэропорта, функционирование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которых может повлиять на безопасность полетов воздушных судов, исходя из их радиуса максимального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поражения., вид/наименование: Приаэродромная территория 5 подзона, тип: Зоны с особыми условиями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использования территории, решения: 1. дата решения: 12.09.2022, номер решения: PVD-0041/2022-22402-1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2. дата решения: 17.08.2022, номер решения: Исх-33512/04, наименование ОГВ/ОМСУ: Федеральное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агентство воздушного транспорта (Росавиация) 3. дата решения: 01.02.2021, номер решения: 53-П,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наименование ОГВ/ОМСУ: Федеральное агентство воздушного транспорта (Росавиация) 4. дата решения: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7428BE" w:rsidRPr="007428BE">
        <w:rPr>
          <w:rFonts w:ascii="Times New Roman" w:hAnsi="Times New Roman" w:cs="Times New Roman"/>
          <w:bCs/>
          <w:sz w:val="24"/>
          <w:szCs w:val="24"/>
          <w:lang w:val="ru-RU"/>
        </w:rPr>
        <w:t>18.08.2022, номер решения: б/н</w:t>
      </w:r>
      <w:r w:rsidR="00534902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 w:rsidR="007E5824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2E4D7173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6C060850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E79E677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аукционе 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58B3161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27F24163" w14:textId="5F5CB21A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1A1633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A1633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13C3431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44F09D52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DD02AD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1607F14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приватизации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lastRenderedPageBreak/>
        <w:t>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9BF86E8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3A75DE1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6C95448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04B33C4E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6B1D3042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9D14F75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4DE22288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77538BE0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5B2A13B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78438A14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5215145B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0DBAC0E7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087093A" w14:textId="75492690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r w:rsidR="001A1633"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A163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6779CF75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4718B018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1928547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3B3D71EF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3F48BEB5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</w:rPr>
        <w:t>лиц:</w:t>
      </w:r>
    </w:p>
    <w:p w14:paraId="64C8FA4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0D362513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13914FA" w14:textId="1B3CC27A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1A1633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A163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1A1633" w:rsidRPr="001A1633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35E6BB2C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lastRenderedPageBreak/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6FA766AA" w14:textId="77777777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установленным</w:t>
      </w:r>
      <w:r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041A863E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089C9D04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7B406789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D0DEBD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17FDEF20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03CB58D9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2B1C357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743C6F72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 и территорий, предоставляющих льготный налоговый 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4D8C585B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1C268349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0C875466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Электронный аукцион проводится в назначенную дату и время при условии,                       что по итогам рассмотрения заявок на участие в электронном аукционе были допущены не менее двух Заявителей.</w:t>
      </w:r>
    </w:p>
    <w:p w14:paraId="3EBD8E7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090F5B07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программно – аппаратных средств электронной площадки завершается;</w:t>
      </w:r>
    </w:p>
    <w:p w14:paraId="2D23CF52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поступило ни одного предложения, то аукцион с помощью программно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51D543F8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7D9D705C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1BEC6F83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587EB241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0F89544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2272505B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16816783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6CC5C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50EB940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789A570F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0AD31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3E50B78D" w14:textId="100DF0B3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r w:rsidR="001A1633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399E7DC8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104C282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54ADAA2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25664ECD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lastRenderedPageBreak/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60E9C8C4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03C7ED2F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27E2DFB8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5AD5FCC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2740F9AA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02B6BF76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37DBB708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3098B59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F533FD" w14:paraId="5ACF4071" w14:textId="77777777" w:rsidTr="007E5824">
        <w:tc>
          <w:tcPr>
            <w:tcW w:w="4503" w:type="dxa"/>
            <w:shd w:val="clear" w:color="auto" w:fill="auto"/>
          </w:tcPr>
          <w:p w14:paraId="3816AF34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594C2FB6" w14:textId="77777777" w:rsidR="00631A6B" w:rsidRPr="00127F07" w:rsidRDefault="00127F07" w:rsidP="007E5824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   «</w:t>
            </w:r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5BE81B65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726FE48E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49A006E2" w14:textId="22C2CED0" w:rsidR="00631A6B" w:rsidRPr="005638CC" w:rsidRDefault="001A1633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1B34EA24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580718FB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23562DF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3C2E8CAA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60D71C1D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375E73E1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3D90556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652A3C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206DFDAC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36A96DFA" w14:textId="4D7B2DC6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1A1633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1CECD608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44DBABF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A60683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>1) соблюдать порядок проведения продажи, установленный законодательством Российской Федерации.</w:t>
      </w:r>
    </w:p>
    <w:p w14:paraId="1F8ABEC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8C5A5F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417DE8F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65F8149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68EF856A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7DE20A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2F987FA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0865748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3734DAA7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B5109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1A491A43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01814DCB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589219D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м.п.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F533FD" w14:paraId="2135ED64" w14:textId="77777777" w:rsidTr="007D3E49">
        <w:trPr>
          <w:trHeight w:val="1890"/>
        </w:trPr>
        <w:tc>
          <w:tcPr>
            <w:tcW w:w="5191" w:type="dxa"/>
          </w:tcPr>
          <w:p w14:paraId="77F75188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65FFCBAF" w14:textId="4D83A266" w:rsidR="00631A6B" w:rsidRPr="00631A6B" w:rsidRDefault="005638CC" w:rsidP="007D3E49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r w:rsidR="001A1633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«</w:t>
            </w:r>
            <w:r w:rsidR="007E5824" w:rsidRPr="007428BE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</w:t>
            </w:r>
            <w:r w:rsidR="007E582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»</w:t>
            </w:r>
          </w:p>
        </w:tc>
      </w:tr>
    </w:tbl>
    <w:p w14:paraId="2CE0CFA0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4789ECBD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114BF0AB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</w:p>
    <w:p w14:paraId="295C9A14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08FAF74" w14:textId="77777777" w:rsidR="00631A6B" w:rsidRDefault="00631A6B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7E5824" w:rsidRP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Ленина, 121»</w:t>
      </w:r>
    </w:p>
    <w:p w14:paraId="034AEC35" w14:textId="77777777" w:rsidR="007E5824" w:rsidRPr="00631A6B" w:rsidRDefault="007E5824" w:rsidP="007E5824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PT Astra Serif" w:eastAsia="Calibri" w:hAnsi="PT Astra Serif" w:cs="Times New Roman"/>
          <w:sz w:val="26"/>
          <w:szCs w:val="26"/>
          <w:lang w:val="ru-RU" w:eastAsia="ru-RU"/>
        </w:rPr>
      </w:pPr>
    </w:p>
    <w:p w14:paraId="6C54526A" w14:textId="01556025" w:rsidR="00631A6B" w:rsidRPr="00631A6B" w:rsidRDefault="00631A6B" w:rsidP="00631A6B">
      <w:pPr>
        <w:widowControl/>
        <w:adjustRightInd w:val="0"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2331E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79EAB04E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3B7AA496" w14:textId="2E199008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с другой стороны и именуемые в дальнейшем СТОРОНЫ, в соответствии с протоколом открытого аукциона по продаже муниципального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lastRenderedPageBreak/>
        <w:t>имущества от _______________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6B08D8E5" w14:textId="77777777" w:rsidR="00631A6B" w:rsidRPr="00631A6B" w:rsidRDefault="00631A6B" w:rsidP="00631A6B">
      <w:pPr>
        <w:widowControl/>
        <w:adjustRightInd w:val="0"/>
        <w:ind w:firstLine="54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1. ПРЕДМЕТ ДОГОВОРА</w:t>
      </w:r>
    </w:p>
    <w:p w14:paraId="4D75B131" w14:textId="3D0A9C40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371B8323" w14:textId="77777777" w:rsidR="007E5824" w:rsidRPr="007428BE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Нежилое здание, кадастровый номер 45:08:040226:80, общей площадью – 255,8 кв.м.,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3582A37E" w14:textId="77777777" w:rsidR="007E5824" w:rsidRDefault="007E5824" w:rsidP="007E5824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земельный участок </w:t>
      </w:r>
      <w:r w:rsidRPr="007428B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121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FC6E114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3BB5A0F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41ED28B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4240513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3878AF88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08F2B44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61F9A56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414C7747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2D88C47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72E61C16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00D078CC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8B6E6E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7BC4052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A059B8E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342D650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4C89EAE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кор/счет40102810345370000037</w:t>
      </w:r>
    </w:p>
    <w:p w14:paraId="62066C1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р/сч 03100643000000010000</w:t>
      </w:r>
    </w:p>
    <w:p w14:paraId="2B6CF6E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0E49129A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245B5C23" w14:textId="5F43AB46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r w:rsidR="001A1633"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Задаток,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5FEA7B69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418D5D09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3.5 Налоги и сборы, связанные с куплей-продажей, постановкой на учет и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6736FFB4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43FC89A3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4A39059C" w14:textId="5349F39E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089911E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734FC744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569C766F" w14:textId="77777777" w:rsidR="00631A6B" w:rsidRP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4B786E8B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6635ABC0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340ADC1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1FAB059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7F01A55A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D315C70" w14:textId="263932C5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1A163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не достижения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69B42082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3E5003C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1EACC581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652196C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54A2B4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0FA1CE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16338B68" w14:textId="08CC37BD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r w:rsidR="001A163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114996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277E52E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5FEAB2AD" w14:textId="77777777" w:rsidTr="00FD0BE3">
        <w:tc>
          <w:tcPr>
            <w:tcW w:w="2668" w:type="pct"/>
          </w:tcPr>
          <w:p w14:paraId="5C9FF73B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7FDC6899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45A5B170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094F945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6E2B8EE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160EA9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_О.Н. Язовских</w:t>
            </w:r>
          </w:p>
          <w:p w14:paraId="421616D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6476EFE0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41DD3FF0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Покупатель:</w:t>
            </w:r>
          </w:p>
        </w:tc>
      </w:tr>
    </w:tbl>
    <w:p w14:paraId="4783B0E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22257BAA" w14:textId="30F6A985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</w:t>
      </w:r>
      <w:r w:rsidR="001A1633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305DDA9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3155902" w14:textId="532DA834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</w:t>
      </w:r>
      <w:r w:rsidR="001A163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</w:t>
      </w:r>
    </w:p>
    <w:p w14:paraId="45049FE8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5D775CA0" w14:textId="603A9E88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Язовских Олега Николаевича, </w:t>
      </w:r>
      <w:r w:rsidR="001A163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действующего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(ая)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47293BB1" w14:textId="77777777" w:rsidR="00CB2842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Нежилое здание, кадастровый номер 45:08:040226:80, общей площадью – 255,8 кв.м.,                  1929 года постройки, количество этажей – 1., расположенное по адресу: Российская Федерация, Курганская область, муниципальный округ Кетовский, село Кетово, улица Ленина, 121;</w:t>
      </w:r>
    </w:p>
    <w:p w14:paraId="13E3DFC7" w14:textId="77777777" w:rsidR="00631A6B" w:rsidRPr="00CB2842" w:rsidRDefault="00CB2842" w:rsidP="00D75B1E">
      <w:pPr>
        <w:widowControl/>
        <w:adjustRightInd w:val="0"/>
        <w:ind w:firstLine="57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 земельный участок  с кадастровым номером 45:08:040226:28, общей площадью 1180 кв.м., категория земель: земли населенных пунктов, вид разрешенного использования:                                  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адресу:  Российская Федерация, Курганская область, муниципальный округ Кетовский, село Кетово, улица Ленина, земельный участок 121.</w:t>
      </w:r>
      <w:r w:rsid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280C8D0B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048B97DF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7A4DF450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79BFBAD0" w14:textId="77777777" w:rsidTr="00FD0BE3">
        <w:tc>
          <w:tcPr>
            <w:tcW w:w="2668" w:type="pct"/>
          </w:tcPr>
          <w:p w14:paraId="1BA2AB02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A872EA3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3F1504E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46AA62E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2A76016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C20022B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_____________________________О.Н. Язовских</w:t>
            </w:r>
          </w:p>
          <w:p w14:paraId="42FFDED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6D15F42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7E43EED4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0F2E2EA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B6EC615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2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3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4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5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7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8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9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3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6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7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8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9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0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1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2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3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4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5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6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83959454">
    <w:abstractNumId w:val="16"/>
  </w:num>
  <w:num w:numId="2" w16cid:durableId="1266305802">
    <w:abstractNumId w:val="6"/>
  </w:num>
  <w:num w:numId="3" w16cid:durableId="1693460013">
    <w:abstractNumId w:val="27"/>
  </w:num>
  <w:num w:numId="4" w16cid:durableId="1461069689">
    <w:abstractNumId w:val="31"/>
  </w:num>
  <w:num w:numId="5" w16cid:durableId="1537935851">
    <w:abstractNumId w:val="22"/>
  </w:num>
  <w:num w:numId="6" w16cid:durableId="1619527209">
    <w:abstractNumId w:val="11"/>
  </w:num>
  <w:num w:numId="7" w16cid:durableId="1061294871">
    <w:abstractNumId w:val="0"/>
  </w:num>
  <w:num w:numId="8" w16cid:durableId="573515686">
    <w:abstractNumId w:val="30"/>
  </w:num>
  <w:num w:numId="9" w16cid:durableId="85342815">
    <w:abstractNumId w:val="13"/>
  </w:num>
  <w:num w:numId="10" w16cid:durableId="1369257799">
    <w:abstractNumId w:val="14"/>
  </w:num>
  <w:num w:numId="11" w16cid:durableId="2049527120">
    <w:abstractNumId w:val="33"/>
  </w:num>
  <w:num w:numId="12" w16cid:durableId="844437590">
    <w:abstractNumId w:val="7"/>
  </w:num>
  <w:num w:numId="13" w16cid:durableId="2133548719">
    <w:abstractNumId w:val="29"/>
  </w:num>
  <w:num w:numId="14" w16cid:durableId="1945965406">
    <w:abstractNumId w:val="34"/>
  </w:num>
  <w:num w:numId="15" w16cid:durableId="1909269368">
    <w:abstractNumId w:val="12"/>
  </w:num>
  <w:num w:numId="16" w16cid:durableId="603535089">
    <w:abstractNumId w:val="25"/>
  </w:num>
  <w:num w:numId="17" w16cid:durableId="214589644">
    <w:abstractNumId w:val="3"/>
  </w:num>
  <w:num w:numId="18" w16cid:durableId="878468634">
    <w:abstractNumId w:val="18"/>
  </w:num>
  <w:num w:numId="19" w16cid:durableId="983854904">
    <w:abstractNumId w:val="26"/>
  </w:num>
  <w:num w:numId="20" w16cid:durableId="2096589271">
    <w:abstractNumId w:val="32"/>
  </w:num>
  <w:num w:numId="21" w16cid:durableId="1845237911">
    <w:abstractNumId w:val="10"/>
  </w:num>
  <w:num w:numId="22" w16cid:durableId="1613321022">
    <w:abstractNumId w:val="4"/>
  </w:num>
  <w:num w:numId="23" w16cid:durableId="1119571042">
    <w:abstractNumId w:val="15"/>
  </w:num>
  <w:num w:numId="24" w16cid:durableId="594824074">
    <w:abstractNumId w:val="5"/>
  </w:num>
  <w:num w:numId="25" w16cid:durableId="2138603006">
    <w:abstractNumId w:val="1"/>
  </w:num>
  <w:num w:numId="26" w16cid:durableId="1417242380">
    <w:abstractNumId w:val="28"/>
  </w:num>
  <w:num w:numId="27" w16cid:durableId="1105271985">
    <w:abstractNumId w:val="23"/>
  </w:num>
  <w:num w:numId="28" w16cid:durableId="1077477892">
    <w:abstractNumId w:val="21"/>
  </w:num>
  <w:num w:numId="29" w16cid:durableId="1101027353">
    <w:abstractNumId w:val="2"/>
  </w:num>
  <w:num w:numId="30" w16cid:durableId="1653170669">
    <w:abstractNumId w:val="35"/>
  </w:num>
  <w:num w:numId="31" w16cid:durableId="2085449634">
    <w:abstractNumId w:val="9"/>
  </w:num>
  <w:num w:numId="32" w16cid:durableId="1147890841">
    <w:abstractNumId w:val="19"/>
  </w:num>
  <w:num w:numId="33" w16cid:durableId="2116443781">
    <w:abstractNumId w:val="36"/>
  </w:num>
  <w:num w:numId="34" w16cid:durableId="624624725">
    <w:abstractNumId w:val="8"/>
  </w:num>
  <w:num w:numId="35" w16cid:durableId="1120028874">
    <w:abstractNumId w:val="17"/>
  </w:num>
  <w:num w:numId="36" w16cid:durableId="551158964">
    <w:abstractNumId w:val="24"/>
  </w:num>
  <w:num w:numId="37" w16cid:durableId="1227883758">
    <w:abstractNumId w:val="20"/>
  </w:num>
  <w:num w:numId="38" w16cid:durableId="4420426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96835"/>
    <w:rsid w:val="000D54A9"/>
    <w:rsid w:val="000E5F46"/>
    <w:rsid w:val="000F466B"/>
    <w:rsid w:val="001051A5"/>
    <w:rsid w:val="0011371E"/>
    <w:rsid w:val="00114996"/>
    <w:rsid w:val="00127111"/>
    <w:rsid w:val="00127F07"/>
    <w:rsid w:val="00143539"/>
    <w:rsid w:val="00144273"/>
    <w:rsid w:val="001467D0"/>
    <w:rsid w:val="00154ED1"/>
    <w:rsid w:val="00157955"/>
    <w:rsid w:val="0015797B"/>
    <w:rsid w:val="00164EE3"/>
    <w:rsid w:val="00176DCF"/>
    <w:rsid w:val="001866C5"/>
    <w:rsid w:val="001A1633"/>
    <w:rsid w:val="001B4850"/>
    <w:rsid w:val="001C6954"/>
    <w:rsid w:val="001D6411"/>
    <w:rsid w:val="001E6C29"/>
    <w:rsid w:val="002044D9"/>
    <w:rsid w:val="0020525F"/>
    <w:rsid w:val="0020759C"/>
    <w:rsid w:val="002240EC"/>
    <w:rsid w:val="002331E1"/>
    <w:rsid w:val="002806B8"/>
    <w:rsid w:val="00283C2D"/>
    <w:rsid w:val="002A0220"/>
    <w:rsid w:val="002C4DDA"/>
    <w:rsid w:val="002F2A3F"/>
    <w:rsid w:val="00300D93"/>
    <w:rsid w:val="00305883"/>
    <w:rsid w:val="00305D45"/>
    <w:rsid w:val="003272F1"/>
    <w:rsid w:val="00373003"/>
    <w:rsid w:val="0037449A"/>
    <w:rsid w:val="00374C95"/>
    <w:rsid w:val="003C790C"/>
    <w:rsid w:val="003D0CC8"/>
    <w:rsid w:val="003F66E3"/>
    <w:rsid w:val="00414F99"/>
    <w:rsid w:val="004175C5"/>
    <w:rsid w:val="00424D15"/>
    <w:rsid w:val="00436241"/>
    <w:rsid w:val="00437B1C"/>
    <w:rsid w:val="00440FA1"/>
    <w:rsid w:val="00450646"/>
    <w:rsid w:val="0048253E"/>
    <w:rsid w:val="00484FBA"/>
    <w:rsid w:val="004D083D"/>
    <w:rsid w:val="004E2BF7"/>
    <w:rsid w:val="00507378"/>
    <w:rsid w:val="00534902"/>
    <w:rsid w:val="00537A36"/>
    <w:rsid w:val="00546B86"/>
    <w:rsid w:val="00555348"/>
    <w:rsid w:val="005638CC"/>
    <w:rsid w:val="005D1033"/>
    <w:rsid w:val="005D3587"/>
    <w:rsid w:val="005E05E5"/>
    <w:rsid w:val="005F20FC"/>
    <w:rsid w:val="00631A6B"/>
    <w:rsid w:val="00642732"/>
    <w:rsid w:val="00646EC1"/>
    <w:rsid w:val="00671B87"/>
    <w:rsid w:val="0069241D"/>
    <w:rsid w:val="006A0812"/>
    <w:rsid w:val="006E70B4"/>
    <w:rsid w:val="00706B38"/>
    <w:rsid w:val="00710D18"/>
    <w:rsid w:val="007428BE"/>
    <w:rsid w:val="0074430B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4459"/>
    <w:rsid w:val="00866633"/>
    <w:rsid w:val="0089000C"/>
    <w:rsid w:val="00893457"/>
    <w:rsid w:val="008A4B8E"/>
    <w:rsid w:val="008C1538"/>
    <w:rsid w:val="008F5D96"/>
    <w:rsid w:val="00911A2B"/>
    <w:rsid w:val="009332E2"/>
    <w:rsid w:val="00952A15"/>
    <w:rsid w:val="00984F3A"/>
    <w:rsid w:val="00986AD0"/>
    <w:rsid w:val="00990CA4"/>
    <w:rsid w:val="009C0E7B"/>
    <w:rsid w:val="009D5682"/>
    <w:rsid w:val="00A17999"/>
    <w:rsid w:val="00A252DA"/>
    <w:rsid w:val="00A620A8"/>
    <w:rsid w:val="00A65551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10FBF"/>
    <w:rsid w:val="00B22968"/>
    <w:rsid w:val="00B611FD"/>
    <w:rsid w:val="00B67F8B"/>
    <w:rsid w:val="00B84A2C"/>
    <w:rsid w:val="00B93053"/>
    <w:rsid w:val="00B969A9"/>
    <w:rsid w:val="00BA6CB0"/>
    <w:rsid w:val="00BD4355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D7F3E"/>
    <w:rsid w:val="00DE09F7"/>
    <w:rsid w:val="00DE6A82"/>
    <w:rsid w:val="00E003E8"/>
    <w:rsid w:val="00E30D20"/>
    <w:rsid w:val="00E36957"/>
    <w:rsid w:val="00E76956"/>
    <w:rsid w:val="00EA308A"/>
    <w:rsid w:val="00EA6B03"/>
    <w:rsid w:val="00EB7009"/>
    <w:rsid w:val="00EC1959"/>
    <w:rsid w:val="00F00240"/>
    <w:rsid w:val="00F34E51"/>
    <w:rsid w:val="00F4405C"/>
    <w:rsid w:val="00F533FD"/>
    <w:rsid w:val="00F550BF"/>
    <w:rsid w:val="00F57BD0"/>
    <w:rsid w:val="00F61B6B"/>
    <w:rsid w:val="00F74849"/>
    <w:rsid w:val="00F95DFF"/>
    <w:rsid w:val="00FC50CB"/>
    <w:rsid w:val="00FC7495"/>
    <w:rsid w:val="00FD0BE3"/>
    <w:rsid w:val="00FD2639"/>
    <w:rsid w:val="00FD644A"/>
    <w:rsid w:val="00FD675B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AE95F"/>
  <w15:docId w15:val="{311834E8-EAE0-422E-806A-F5D463931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12</Pages>
  <Words>6426</Words>
  <Characters>36633</Characters>
  <Application>Microsoft Office Word</Application>
  <DocSecurity>0</DocSecurity>
  <Lines>305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42974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36</cp:revision>
  <cp:lastPrinted>2025-03-12T06:08:00Z</cp:lastPrinted>
  <dcterms:created xsi:type="dcterms:W3CDTF">2024-07-18T05:53:00Z</dcterms:created>
  <dcterms:modified xsi:type="dcterms:W3CDTF">2025-03-13T04:59:00Z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