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5444"/>
      </w:tblGrid>
      <w:tr w:rsidR="002C4DDA" w:rsidRPr="00247895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8F5A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F5A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1209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Hlk196300125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</w:t>
            </w:r>
            <w:bookmarkStart w:id="1" w:name="_Hlk196300080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КАВЗ3271, ИН X1E003271M0029709, рег. знак В194ЕЕ 45</w:t>
            </w:r>
            <w:bookmarkEnd w:id="1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bookmarkEnd w:id="0"/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11461F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461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Автобус КАВЗ3271, ИН X1E003271M0029709, рег. знак В194ЕЕ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8F5A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апреля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8F5A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1209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КАВЗ3271, </w:t>
      </w:r>
      <w:r w:rsid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 X1E003271M0029709, рег. знак В194ЕЕ 45»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11461F" w:rsidRDefault="00C0218A" w:rsidP="001C01A6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46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11461F" w:rsidRPr="0011461F">
        <w:rPr>
          <w:rFonts w:ascii="Times New Roman" w:hAnsi="Times New Roman" w:cs="Times New Roman"/>
          <w:bCs/>
          <w:sz w:val="24"/>
          <w:szCs w:val="24"/>
          <w:lang w:val="ru-RU"/>
        </w:rPr>
        <w:t>60000 руб. (шестьдесят тысяч руб.)</w:t>
      </w:r>
      <w:r w:rsidR="0011461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847D1E" w:rsidRPr="0011461F" w:rsidRDefault="00C0218A" w:rsidP="006A2CD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11461F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1146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11461F" w:rsidRPr="0011461F">
        <w:rPr>
          <w:rFonts w:ascii="Times New Roman" w:hAnsi="Times New Roman" w:cs="Times New Roman"/>
          <w:bCs/>
          <w:sz w:val="24"/>
          <w:szCs w:val="24"/>
          <w:lang w:val="ru-RU"/>
        </w:rPr>
        <w:t>3000 руб. (три тысячи руб.)</w:t>
      </w:r>
      <w:r w:rsidR="00847D1E" w:rsidRPr="0011461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6000 руб. (шесть тысяч руб.)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Порядок внесения задатка: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247895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2025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</w:t>
      </w:r>
      <w:proofErr w:type="gram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247895">
        <w:rPr>
          <w:rFonts w:ascii="Times New Roman" w:eastAsia="Tahoma" w:hAnsi="Times New Roman" w:cs="Times New Roman"/>
          <w:sz w:val="24"/>
          <w:szCs w:val="24"/>
          <w:lang w:val="ru-RU" w:bidi="ru-RU"/>
        </w:rPr>
        <w:t>23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61F">
        <w:rPr>
          <w:rFonts w:ascii="Times New Roman" w:eastAsia="Tahoma" w:hAnsi="Times New Roman" w:cs="Times New Roman"/>
          <w:sz w:val="24"/>
          <w:szCs w:val="24"/>
          <w:lang w:val="ru-RU" w:bidi="ru-RU"/>
        </w:rPr>
        <w:t>09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25.04.2025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247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247895">
        <w:rPr>
          <w:rFonts w:ascii="Times New Roman" w:eastAsia="Tahoma" w:hAnsi="Times New Roman" w:cs="Times New Roman"/>
          <w:sz w:val="24"/>
          <w:szCs w:val="24"/>
          <w:lang w:val="ru-RU" w:bidi="ru-RU"/>
        </w:rPr>
        <w:t>21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2" w:name="_Hlk196297348"/>
      <w:bookmarkStart w:id="3" w:name="_Hlk196300491"/>
      <w:r>
        <w:t>Транспортное средство</w:t>
      </w:r>
      <w:r w:rsidR="00A90026">
        <w:t xml:space="preserve"> (далее – имущество)</w:t>
      </w:r>
      <w:r>
        <w:t>:</w:t>
      </w:r>
    </w:p>
    <w:bookmarkEnd w:id="2"/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ЕМ 797615,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В194ЕЕ,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КАВЗ3271,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прочие,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X1E003271M0029709,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1992,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511-153659,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1401037,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0029709,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зеленый,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120/88,5,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- 4250,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двигателя – бензиновый,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6545,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4080.</w:t>
      </w:r>
    </w:p>
    <w:bookmarkEnd w:id="3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proofErr w:type="gramEnd"/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юридических лиц, местом регистрации которых является государство или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786"/>
        <w:gridCol w:w="5637"/>
      </w:tblGrid>
      <w:tr w:rsidR="00631A6B" w:rsidRPr="00247895" w:rsidTr="0011461F">
        <w:tc>
          <w:tcPr>
            <w:tcW w:w="4786" w:type="dxa"/>
            <w:shd w:val="clear" w:color="auto" w:fill="auto"/>
          </w:tcPr>
          <w:p w:rsidR="00631A6B" w:rsidRPr="004D083D" w:rsidRDefault="00631A6B" w:rsidP="0011461F">
            <w:pPr>
              <w:spacing w:before="1" w:line="244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shd w:val="clear" w:color="auto" w:fill="auto"/>
          </w:tcPr>
          <w:p w:rsidR="00631A6B" w:rsidRDefault="00127F07" w:rsidP="00127F07">
            <w:pPr>
              <w:spacing w:line="276" w:lineRule="auto"/>
              <w:ind w:righ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на право заключения договора купли-продажи муниципального имущества: Автобус </w:t>
            </w:r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КАВЗ3271, ИН X1E003271M0029709, рег. знак В194ЕЕ 45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11461F" w:rsidRPr="00127F07" w:rsidRDefault="0011461F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p w:rsidR="0011461F" w:rsidRPr="00646EC1" w:rsidRDefault="0011461F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247895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на право заключения договора </w:t>
            </w:r>
            <w:bookmarkStart w:id="4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купли-продажи муниципального имущества: </w:t>
            </w:r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КАВЗ3271, ИН X1E003271M0029709, рег. знак В194ЕЕ 45</w:t>
            </w:r>
            <w:bookmarkEnd w:id="4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B50BB2" w:rsidRPr="00631A6B" w:rsidRDefault="00B50BB2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</w:t>
      </w:r>
      <w:r w:rsidR="0011461F" w:rsidRPr="0011461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Автобус КАВЗ3271, ИН X1E003271M0029709, рег. знак В194ЕЕ 45</w:t>
      </w: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E52866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11461F" w:rsidRDefault="0011461F" w:rsidP="0011461F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ЕМ 797615,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В194ЕЕ,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КАВЗ3271,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прочие,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X1E003271M0029709,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1992,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511-153659,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1401037,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зеленый,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120/88,5,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- 4250,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двигателя – бензиновый,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6545,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4080.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 достижения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B50BB2" w:rsidRDefault="00B50BB2" w:rsidP="00B50BB2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11461F" w:rsidRDefault="0011461F" w:rsidP="0011461F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ЕМ 797615,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В194ЕЕ,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КАВЗ3271,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прочие,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X1E003271M0029709,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1992,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511-153659,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1401037,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зеленый,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120/88,5,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- 4250,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двигателя – бензиновый,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6545,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4080.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07C2"/>
    <w:rsid w:val="000E5F46"/>
    <w:rsid w:val="000F466B"/>
    <w:rsid w:val="0011371E"/>
    <w:rsid w:val="0011461F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47895"/>
    <w:rsid w:val="002806B8"/>
    <w:rsid w:val="00283C2D"/>
    <w:rsid w:val="002A0220"/>
    <w:rsid w:val="002C4DDA"/>
    <w:rsid w:val="00300D93"/>
    <w:rsid w:val="00305883"/>
    <w:rsid w:val="00373003"/>
    <w:rsid w:val="003F66E3"/>
    <w:rsid w:val="0041582D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9000C"/>
    <w:rsid w:val="008A4B8E"/>
    <w:rsid w:val="008C1538"/>
    <w:rsid w:val="008F5A35"/>
    <w:rsid w:val="00911A2B"/>
    <w:rsid w:val="009332E2"/>
    <w:rsid w:val="009428C9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0BB2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37565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52866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FEF0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461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24</cp:revision>
  <cp:lastPrinted>2025-04-24T05:41:00Z</cp:lastPrinted>
  <dcterms:created xsi:type="dcterms:W3CDTF">2024-07-18T05:53:00Z</dcterms:created>
  <dcterms:modified xsi:type="dcterms:W3CDTF">2025-04-24T05:41:00Z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