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5318"/>
      </w:tblGrid>
      <w:tr w:rsidR="002C4DDA" w:rsidRPr="006526DA" w14:paraId="4F14BFDF" w14:textId="77777777" w:rsidTr="002C4DDA">
        <w:trPr>
          <w:trHeight w:val="1985"/>
        </w:trPr>
        <w:tc>
          <w:tcPr>
            <w:tcW w:w="7263" w:type="dxa"/>
          </w:tcPr>
          <w:p w14:paraId="09C13560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54294A50" w14:textId="17C7DD6E" w:rsidR="002C4DDA" w:rsidRPr="002C4DDA" w:rsidRDefault="002C4DDA" w:rsidP="00DB016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6526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4D56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мая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E22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№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526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1374</w:t>
            </w:r>
            <w:r w:rsidR="005600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B016F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                                р-н. Кетовский, п. Нефтяников, ул. Гостинная,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="00DB016F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 5»</w:t>
            </w:r>
          </w:p>
        </w:tc>
      </w:tr>
    </w:tbl>
    <w:p w14:paraId="6A119B8F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89BD14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7F2772F7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2772719B" w14:textId="77777777" w:rsidR="002C4DDA" w:rsidRDefault="00DB016F" w:rsidP="00F57BD0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DB016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здания медпункта, расположенного по адресу: Курганская область, р-н. Кетовский,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                          </w:t>
      </w:r>
      <w:r w:rsidRPr="00DB016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п. Нефтяников, ул. Гостинная, д. 5</w:t>
      </w:r>
    </w:p>
    <w:p w14:paraId="6C7D1528" w14:textId="77777777" w:rsidR="00DB016F" w:rsidRDefault="00DB016F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A1952C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72E4735A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12A30A4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DB016F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DB016F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A98E19E" w14:textId="77777777" w:rsidR="00305D45" w:rsidRPr="00DB016F" w:rsidRDefault="00BD4355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DB016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DB016F"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141C4D" w14:textId="62084131" w:rsidR="00DB016F" w:rsidRPr="00DB016F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6526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</w:t>
      </w:r>
      <w:r w:rsidR="004D56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мая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A001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6526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1374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р-н. Кетовский, п. Нефтяников, ул. Гостинная,</w:t>
      </w:r>
      <w:r w:rsid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д. 5»</w:t>
      </w:r>
    </w:p>
    <w:p w14:paraId="6C8E8EC3" w14:textId="77777777" w:rsidR="00C0218A" w:rsidRPr="00DB016F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B016F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3407B20C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6463CB8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200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Pr="007428B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копейки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один миллион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двести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F9427D2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1C8A059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7428BE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28BC2FF4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60 000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шестьдесят тысяч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6887144" w14:textId="32D53C58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9A1EDC"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9A1EDC">
        <w:rPr>
          <w:rFonts w:ascii="Times New Roman" w:hAnsi="Times New Roman" w:cs="Times New Roman"/>
          <w:bCs/>
          <w:sz w:val="24"/>
          <w:szCs w:val="24"/>
          <w:lang w:val="ru-RU"/>
        </w:rPr>
        <w:t>сто двадцать тысяч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                           00 копеек).</w:t>
      </w:r>
    </w:p>
    <w:p w14:paraId="4B6E1E6F" w14:textId="77311E39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4D5657">
        <w:rPr>
          <w:rFonts w:ascii="Times New Roman" w:hAnsi="Times New Roman" w:cs="Times New Roman"/>
          <w:b/>
          <w:bCs/>
          <w:sz w:val="24"/>
          <w:szCs w:val="24"/>
          <w:lang w:val="ru-RU"/>
        </w:rPr>
        <w:t>10 июня</w:t>
      </w:r>
      <w:r w:rsidR="009A1ED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A927545" w14:textId="5CE4E8BA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r w:rsidR="00A61A30"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аукциона,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3FA9B5F4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6CB61BF8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215BDA21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5BCBE028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376332E7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73A48F9F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0B41E0CA" w14:textId="02BEAED7" w:rsidR="00E220AB" w:rsidRDefault="00E220AB" w:rsidP="00E220AB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Дата и время проведения аукциона: </w:t>
      </w:r>
      <w:r w:rsidR="004D5657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17.06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.2025</w:t>
      </w:r>
      <w:r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10:00 ч. по местному времени.</w:t>
      </w:r>
    </w:p>
    <w:p w14:paraId="79595077" w14:textId="6F215A6F" w:rsidR="00E220AB" w:rsidRDefault="00E220AB" w:rsidP="00E220A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Дата и время начала приема заявок на участие в аукционе: </w:t>
      </w:r>
      <w:r w:rsidR="004D565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16.05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                      с 08 часов 00 минут. Прием заявок осуществляется круглосуточно.</w:t>
      </w:r>
    </w:p>
    <w:p w14:paraId="7270D013" w14:textId="14BFC4CA" w:rsidR="00E220AB" w:rsidRDefault="00E220AB" w:rsidP="00E220A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16. Дата и время окончания приема заявок на участие в аукционе: </w:t>
      </w:r>
      <w:r w:rsidR="004D565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10.06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 16.00 ч. по местному времени.</w:t>
      </w:r>
    </w:p>
    <w:p w14:paraId="6CEB6A00" w14:textId="53C3702C" w:rsidR="00E220AB" w:rsidRDefault="00E220AB" w:rsidP="00E220A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4D5657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11.06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.2025</w:t>
      </w:r>
      <w:r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14:paraId="16C0EE40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0280CED1" w14:textId="77777777" w:rsidR="00DB016F" w:rsidRDefault="00DB016F" w:rsidP="00742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Нежилое здание, кадастровый номер 45:08:031101:255, общей площадью – 100,2 кв.м., 1954 года постройки, количество этажей – 3, расположенного по адресу: Курганская область, р-н. Кетовский, п. Нефтяников, ул. Гостинная, д. 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28AD8EE" w14:textId="77777777" w:rsidR="00C26983" w:rsidRPr="00534902" w:rsidRDefault="00C26983" w:rsidP="007428B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отсутствуют.</w:t>
      </w:r>
    </w:p>
    <w:p w14:paraId="43B0F45C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769B4C5A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CD1E38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5E0D1831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37660570" w14:textId="4CAABE0B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</w:t>
      </w:r>
      <w:r w:rsidR="00A001ED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A001ED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001ED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5FEB7A45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67BE8813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3772708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D21277C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BF4A81F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3E29290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361D8E55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26EA1B90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7E301E21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00C862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14141CC3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62A0316A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94A1C6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7F0F02D7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7DECF11B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05EA9485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3506199" w14:textId="77777777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0DBCF5AA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25292E6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37E54536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719CF9C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2E26A32E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1B4EE09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3C0A181B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6A4BA031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724D7694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20CAF27F" w14:textId="53E7638B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A001ED"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установленным </w:t>
      </w:r>
      <w:r w:rsidR="00A001ED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24C5A6D0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4D9D47A3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25D21C65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9822EA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8024C7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020FC1DC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318CC70D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00BD0510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6E77D7EE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06A3AA3F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4FC6D760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14:paraId="1A416953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5A725AC2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14:paraId="7010BADC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4CDD89D3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69FD3FE3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3388D84F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23DF174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408DE58D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1EAC2060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4C62C7A9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4926E7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00A5B849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09B7A3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7ABBA6B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321B4941" w14:textId="0AE483C7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r w:rsidR="00A001ED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начальной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5BD606CC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3CCFA530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500FD8E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120BDF45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6C8113C2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2EDFF46F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60B12302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0698F805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356F87B2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12B59421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5B006F02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3AAF8255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A001ED" w14:paraId="640E9F9D" w14:textId="77777777" w:rsidTr="007E5824">
        <w:tc>
          <w:tcPr>
            <w:tcW w:w="4503" w:type="dxa"/>
            <w:shd w:val="clear" w:color="auto" w:fill="auto"/>
          </w:tcPr>
          <w:p w14:paraId="736B3163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72528D96" w14:textId="77777777" w:rsidR="00631A6B" w:rsidRPr="00127F07" w:rsidRDefault="00127F07" w:rsidP="00B843D5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р-н. Кетовский, </w:t>
            </w:r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Нефтяников, ул. Гостинная, д. 5»</w:t>
            </w:r>
          </w:p>
        </w:tc>
      </w:tr>
    </w:tbl>
    <w:p w14:paraId="200E2813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5A2412CE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34F241A1" w14:textId="09E1EE97" w:rsidR="00631A6B" w:rsidRPr="005638CC" w:rsidRDefault="00FD477E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«_</w:t>
      </w:r>
      <w:r w:rsidR="00631A6B"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14:paraId="4CCC7A54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5B7DD53C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056A4E25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5A4491C5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1399127A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726698FA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650793A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lastRenderedPageBreak/>
        <w:t>(наименование и реквизиты документа, на основании которого действует представитель)</w:t>
      </w:r>
    </w:p>
    <w:p w14:paraId="6EB91A3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4E2F2C3C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02C0D0A5" w14:textId="55B1F9DC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r w:rsidR="00FD477E"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его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14:paraId="3A10EB0F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3616833B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18B544A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14:paraId="7D187D4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2F8C1F1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2D914B5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3A02F80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1EF1243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24063FDF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1ECD203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3E59750F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08EC9832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77975E2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0504BE0A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21FB4972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403D5CA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DB016F" w14:paraId="68DF98FF" w14:textId="77777777" w:rsidTr="007D3E49">
        <w:trPr>
          <w:trHeight w:val="1890"/>
        </w:trPr>
        <w:tc>
          <w:tcPr>
            <w:tcW w:w="5191" w:type="dxa"/>
          </w:tcPr>
          <w:p w14:paraId="0D183C07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75C38559" w14:textId="77777777" w:rsidR="00631A6B" w:rsidRPr="00631A6B" w:rsidRDefault="005638CC" w:rsidP="00B843D5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р-н. Кетовский, </w:t>
            </w:r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Нефтяников, ул. Гостинная,</w:t>
            </w:r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д. 5»</w:t>
            </w:r>
          </w:p>
        </w:tc>
      </w:tr>
    </w:tbl>
    <w:p w14:paraId="64FD5D9B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465D4F2A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04B2CE5C" w14:textId="77777777" w:rsidR="00B843D5" w:rsidRDefault="00631A6B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здания медпункта, расположенного </w:t>
      </w:r>
      <w:r w:rsid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</w:t>
      </w:r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адресу: Курганская область, р-н. Кетовский, п. Нефтяников, ул. Гостинная, д. 5</w:t>
      </w:r>
    </w:p>
    <w:p w14:paraId="5AA35991" w14:textId="77777777" w:rsidR="00B843D5" w:rsidRDefault="00B843D5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7AFE7B7" w14:textId="3A1CB427" w:rsidR="00631A6B" w:rsidRPr="00631A6B" w:rsidRDefault="00631A6B" w:rsidP="00B843D5">
      <w:pPr>
        <w:widowControl/>
        <w:tabs>
          <w:tab w:val="left" w:pos="2896"/>
          <w:tab w:val="center" w:pos="4960"/>
        </w:tabs>
        <w:autoSpaceDE/>
        <w:autoSpaceDN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A001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425941BB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753B6C2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lastRenderedPageBreak/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03B06651" w14:textId="77777777" w:rsidR="00631A6B" w:rsidRPr="00B843D5" w:rsidRDefault="00631A6B" w:rsidP="00B843D5">
      <w:pPr>
        <w:pStyle w:val="a5"/>
        <w:widowControl/>
        <w:numPr>
          <w:ilvl w:val="0"/>
          <w:numId w:val="39"/>
        </w:numPr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ПРЕДМЕТ ДОГОВОРА</w:t>
      </w:r>
    </w:p>
    <w:p w14:paraId="2151DE9C" w14:textId="77777777" w:rsidR="00B843D5" w:rsidRPr="00B843D5" w:rsidRDefault="00B843D5" w:rsidP="00B843D5">
      <w:pPr>
        <w:widowControl/>
        <w:adjustRightInd w:val="0"/>
        <w:ind w:left="540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5CD5CE74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115E126F" w14:textId="77777777" w:rsidR="007E5824" w:rsidRDefault="00B843D5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43D5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45:08:031101:255, общей площадью – 100,2 кв.м.,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843D5">
        <w:rPr>
          <w:rFonts w:ascii="Times New Roman" w:hAnsi="Times New Roman" w:cs="Times New Roman"/>
          <w:sz w:val="24"/>
          <w:szCs w:val="24"/>
          <w:lang w:val="ru-RU"/>
        </w:rPr>
        <w:t xml:space="preserve">1954 года постройки, количество этажей – 3, </w:t>
      </w:r>
      <w:r w:rsidRPr="00B843D5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расположенного по адресу: Курганская область, р-н. Кетовский, п. Нефтяников, ул. Гостинная, д. 5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0F5DB14" w14:textId="77777777" w:rsidR="00B843D5" w:rsidRDefault="00B843D5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E2754B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54BA8EB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140205D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2CA67FD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0A823AB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14:paraId="41122989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70D03E10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7FE9EF15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4C8601D2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4C00C59B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54A9AFDD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0CCC81FD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1CA36C14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4475F257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7BDEBA7C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2AA520CF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1BE85F1F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кор/счет40102810345370000037</w:t>
      </w:r>
    </w:p>
    <w:p w14:paraId="3C95EB66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р/сч 03100643000000010000</w:t>
      </w:r>
    </w:p>
    <w:p w14:paraId="5E74784D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3538106B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14:paraId="42DAA8AB" w14:textId="4DC74353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A001ED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5985931E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7469CE6C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1A20EDFD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7C56B3FC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2543C9C7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4A09B4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приема-передачи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1070DCCA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54D2F27F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BADC60F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1493F1B6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0AAC98CE" w14:textId="77777777" w:rsid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1A6EC778" w14:textId="77777777" w:rsidR="00B843D5" w:rsidRPr="00631A6B" w:rsidRDefault="00B843D5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26E6F5A7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056ABDD8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6B01C77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3E4DB1FD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45B212B3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14:paraId="5B84240F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776834C7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14:paraId="73BDB49F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4FC71B31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7.1. Споры, вытекающие из настоящего Договора, разрешаются путем 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246B0224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83DE2AA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392D6774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1DE6A2D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3402A3F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645936F6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4D9E5B5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4F23595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1A267F86" w14:textId="6CD2FBEF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r w:rsidR="00A001ED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имущества.</w:t>
      </w:r>
    </w:p>
    <w:p w14:paraId="51F6FE43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lastRenderedPageBreak/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32BC583D" w14:textId="77777777" w:rsidTr="00FD0BE3">
        <w:tc>
          <w:tcPr>
            <w:tcW w:w="2668" w:type="pct"/>
          </w:tcPr>
          <w:p w14:paraId="0B852E3B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0F4B3167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52B2F716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6BDE973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2EB1AE2E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7173E689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_О.Н. Язовских</w:t>
            </w:r>
          </w:p>
          <w:p w14:paraId="06600F15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2E2F4F1A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67FA744E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0E4CC8B4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3A7BAA77" w14:textId="77777777" w:rsidR="00631A6B" w:rsidRPr="00631A6B" w:rsidRDefault="00631A6B" w:rsidP="00A001ED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14:paraId="354777BD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202</w:t>
      </w:r>
      <w:r w:rsidR="00B843D5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14:paraId="11C965B4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764F6E46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_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года</w:t>
      </w:r>
    </w:p>
    <w:p w14:paraId="604662FF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0750BC50" w14:textId="77777777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(ая)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3F54FD37" w14:textId="77777777" w:rsidR="00631A6B" w:rsidRPr="00CB2842" w:rsidRDefault="00B843D5" w:rsidP="00316BEE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43D5">
        <w:rPr>
          <w:rFonts w:ascii="Times New Roman" w:hAnsi="Times New Roman" w:cs="Times New Roman"/>
          <w:sz w:val="24"/>
          <w:szCs w:val="24"/>
          <w:lang w:val="ru-RU"/>
        </w:rPr>
        <w:t>- Нежилое здание, кадастровый номер 45:08:031101:255, общей площадью – 100,2 кв.м.,</w:t>
      </w:r>
      <w:r w:rsidR="00316BEE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B843D5">
        <w:rPr>
          <w:rFonts w:ascii="Times New Roman" w:hAnsi="Times New Roman" w:cs="Times New Roman"/>
          <w:sz w:val="24"/>
          <w:szCs w:val="24"/>
          <w:lang w:val="ru-RU"/>
        </w:rPr>
        <w:t xml:space="preserve">1954 года постройки, количество этажей – 3, </w:t>
      </w:r>
      <w:r w:rsidRPr="00B843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316BEE">
        <w:rPr>
          <w:rFonts w:ascii="Times New Roman" w:eastAsia="Times New Roman" w:hAnsi="Times New Roman" w:cs="Times New Roman"/>
          <w:sz w:val="24"/>
          <w:szCs w:val="24"/>
          <w:lang w:val="ru-RU"/>
        </w:rPr>
        <w:t>Кетовский, п. Нефтяников, ул. Гостинная, д. 5</w:t>
      </w:r>
      <w:r w:rsidR="00CB2842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3A82EAA4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4B70703E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338ECC1F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5D5B74A7" w14:textId="77777777" w:rsidTr="00FD0BE3">
        <w:tc>
          <w:tcPr>
            <w:tcW w:w="2668" w:type="pct"/>
          </w:tcPr>
          <w:p w14:paraId="083993B0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23E372E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67BC931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8648F09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54D01B65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4EB7C456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_____________________________О.Н. Язовских</w:t>
            </w:r>
          </w:p>
          <w:p w14:paraId="7AF3FE7D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7D770D26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5B4061DD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4FF74D40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189713CC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1E45301"/>
    <w:multiLevelType w:val="hybridMultilevel"/>
    <w:tmpl w:val="C2CC9A28"/>
    <w:lvl w:ilvl="0" w:tplc="BBE6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3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5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6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8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9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4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7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9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1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2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3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5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6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0750645">
    <w:abstractNumId w:val="17"/>
  </w:num>
  <w:num w:numId="2" w16cid:durableId="648482825">
    <w:abstractNumId w:val="6"/>
  </w:num>
  <w:num w:numId="3" w16cid:durableId="1721905720">
    <w:abstractNumId w:val="28"/>
  </w:num>
  <w:num w:numId="4" w16cid:durableId="2054694934">
    <w:abstractNumId w:val="32"/>
  </w:num>
  <w:num w:numId="5" w16cid:durableId="209997478">
    <w:abstractNumId w:val="23"/>
  </w:num>
  <w:num w:numId="6" w16cid:durableId="1434856595">
    <w:abstractNumId w:val="12"/>
  </w:num>
  <w:num w:numId="7" w16cid:durableId="88045167">
    <w:abstractNumId w:val="0"/>
  </w:num>
  <w:num w:numId="8" w16cid:durableId="1352104694">
    <w:abstractNumId w:val="31"/>
  </w:num>
  <w:num w:numId="9" w16cid:durableId="725179370">
    <w:abstractNumId w:val="14"/>
  </w:num>
  <w:num w:numId="10" w16cid:durableId="782723300">
    <w:abstractNumId w:val="15"/>
  </w:num>
  <w:num w:numId="11" w16cid:durableId="1736051082">
    <w:abstractNumId w:val="34"/>
  </w:num>
  <w:num w:numId="12" w16cid:durableId="1274022883">
    <w:abstractNumId w:val="7"/>
  </w:num>
  <w:num w:numId="13" w16cid:durableId="1097024105">
    <w:abstractNumId w:val="30"/>
  </w:num>
  <w:num w:numId="14" w16cid:durableId="1913849496">
    <w:abstractNumId w:val="35"/>
  </w:num>
  <w:num w:numId="15" w16cid:durableId="1605112630">
    <w:abstractNumId w:val="13"/>
  </w:num>
  <w:num w:numId="16" w16cid:durableId="1027178289">
    <w:abstractNumId w:val="26"/>
  </w:num>
  <w:num w:numId="17" w16cid:durableId="903639256">
    <w:abstractNumId w:val="3"/>
  </w:num>
  <w:num w:numId="18" w16cid:durableId="805784384">
    <w:abstractNumId w:val="19"/>
  </w:num>
  <w:num w:numId="19" w16cid:durableId="1391033948">
    <w:abstractNumId w:val="27"/>
  </w:num>
  <w:num w:numId="20" w16cid:durableId="623853429">
    <w:abstractNumId w:val="33"/>
  </w:num>
  <w:num w:numId="21" w16cid:durableId="1550918144">
    <w:abstractNumId w:val="11"/>
  </w:num>
  <w:num w:numId="22" w16cid:durableId="34622073">
    <w:abstractNumId w:val="4"/>
  </w:num>
  <w:num w:numId="23" w16cid:durableId="2135979706">
    <w:abstractNumId w:val="16"/>
  </w:num>
  <w:num w:numId="24" w16cid:durableId="747002870">
    <w:abstractNumId w:val="5"/>
  </w:num>
  <w:num w:numId="25" w16cid:durableId="332145789">
    <w:abstractNumId w:val="1"/>
  </w:num>
  <w:num w:numId="26" w16cid:durableId="662464297">
    <w:abstractNumId w:val="29"/>
  </w:num>
  <w:num w:numId="27" w16cid:durableId="2095199877">
    <w:abstractNumId w:val="24"/>
  </w:num>
  <w:num w:numId="28" w16cid:durableId="709843633">
    <w:abstractNumId w:val="22"/>
  </w:num>
  <w:num w:numId="29" w16cid:durableId="342443725">
    <w:abstractNumId w:val="2"/>
  </w:num>
  <w:num w:numId="30" w16cid:durableId="1329794790">
    <w:abstractNumId w:val="36"/>
  </w:num>
  <w:num w:numId="31" w16cid:durableId="22368552">
    <w:abstractNumId w:val="10"/>
  </w:num>
  <w:num w:numId="32" w16cid:durableId="990519891">
    <w:abstractNumId w:val="20"/>
  </w:num>
  <w:num w:numId="33" w16cid:durableId="12998538">
    <w:abstractNumId w:val="37"/>
  </w:num>
  <w:num w:numId="34" w16cid:durableId="332991900">
    <w:abstractNumId w:val="9"/>
  </w:num>
  <w:num w:numId="35" w16cid:durableId="1162041887">
    <w:abstractNumId w:val="18"/>
  </w:num>
  <w:num w:numId="36" w16cid:durableId="1545798703">
    <w:abstractNumId w:val="25"/>
  </w:num>
  <w:num w:numId="37" w16cid:durableId="1968586276">
    <w:abstractNumId w:val="21"/>
  </w:num>
  <w:num w:numId="38" w16cid:durableId="487482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9306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5F46"/>
    <w:rsid w:val="000F466B"/>
    <w:rsid w:val="001051A5"/>
    <w:rsid w:val="0011371E"/>
    <w:rsid w:val="00127111"/>
    <w:rsid w:val="00127F07"/>
    <w:rsid w:val="00143539"/>
    <w:rsid w:val="00157955"/>
    <w:rsid w:val="0015797B"/>
    <w:rsid w:val="00164EE3"/>
    <w:rsid w:val="00176DCF"/>
    <w:rsid w:val="001866C5"/>
    <w:rsid w:val="001A38A6"/>
    <w:rsid w:val="001B4850"/>
    <w:rsid w:val="001E64AE"/>
    <w:rsid w:val="001E6C29"/>
    <w:rsid w:val="002044D9"/>
    <w:rsid w:val="0020525F"/>
    <w:rsid w:val="0020759C"/>
    <w:rsid w:val="002240EC"/>
    <w:rsid w:val="00266BC2"/>
    <w:rsid w:val="002806B8"/>
    <w:rsid w:val="00283C2D"/>
    <w:rsid w:val="002A0220"/>
    <w:rsid w:val="002C4DDA"/>
    <w:rsid w:val="00300D93"/>
    <w:rsid w:val="00305883"/>
    <w:rsid w:val="00305D45"/>
    <w:rsid w:val="00316BEE"/>
    <w:rsid w:val="003252FB"/>
    <w:rsid w:val="003272F1"/>
    <w:rsid w:val="00367A7A"/>
    <w:rsid w:val="00373003"/>
    <w:rsid w:val="003D0CC8"/>
    <w:rsid w:val="003F66E3"/>
    <w:rsid w:val="004175C5"/>
    <w:rsid w:val="00424D15"/>
    <w:rsid w:val="00436241"/>
    <w:rsid w:val="00437B1C"/>
    <w:rsid w:val="00450646"/>
    <w:rsid w:val="0048253E"/>
    <w:rsid w:val="004D083D"/>
    <w:rsid w:val="004D5657"/>
    <w:rsid w:val="004D721A"/>
    <w:rsid w:val="004E2BF7"/>
    <w:rsid w:val="00507378"/>
    <w:rsid w:val="00534902"/>
    <w:rsid w:val="00537A36"/>
    <w:rsid w:val="00546B86"/>
    <w:rsid w:val="00555348"/>
    <w:rsid w:val="00560019"/>
    <w:rsid w:val="005638CC"/>
    <w:rsid w:val="005D1033"/>
    <w:rsid w:val="005D3587"/>
    <w:rsid w:val="005E05E5"/>
    <w:rsid w:val="005E4EC2"/>
    <w:rsid w:val="005F20FC"/>
    <w:rsid w:val="00631A6B"/>
    <w:rsid w:val="00642732"/>
    <w:rsid w:val="00646EC1"/>
    <w:rsid w:val="006526DA"/>
    <w:rsid w:val="0069241D"/>
    <w:rsid w:val="006A0812"/>
    <w:rsid w:val="006E70B4"/>
    <w:rsid w:val="00706B38"/>
    <w:rsid w:val="00710D18"/>
    <w:rsid w:val="007428BE"/>
    <w:rsid w:val="0074430B"/>
    <w:rsid w:val="007640B3"/>
    <w:rsid w:val="00767DAA"/>
    <w:rsid w:val="00781CA8"/>
    <w:rsid w:val="00797AF3"/>
    <w:rsid w:val="007C2E38"/>
    <w:rsid w:val="007C64EF"/>
    <w:rsid w:val="007D1891"/>
    <w:rsid w:val="007D3E49"/>
    <w:rsid w:val="007D4915"/>
    <w:rsid w:val="007D5670"/>
    <w:rsid w:val="007D7369"/>
    <w:rsid w:val="007E0326"/>
    <w:rsid w:val="007E5824"/>
    <w:rsid w:val="00801160"/>
    <w:rsid w:val="008210C1"/>
    <w:rsid w:val="00866633"/>
    <w:rsid w:val="0089000C"/>
    <w:rsid w:val="008969C9"/>
    <w:rsid w:val="008A4B8E"/>
    <w:rsid w:val="008C1538"/>
    <w:rsid w:val="00911A2B"/>
    <w:rsid w:val="009332E2"/>
    <w:rsid w:val="00952A15"/>
    <w:rsid w:val="00984F3A"/>
    <w:rsid w:val="00986AD0"/>
    <w:rsid w:val="00990CA4"/>
    <w:rsid w:val="009A1EDC"/>
    <w:rsid w:val="009C0E7B"/>
    <w:rsid w:val="009D5682"/>
    <w:rsid w:val="00A001ED"/>
    <w:rsid w:val="00A17999"/>
    <w:rsid w:val="00A252DA"/>
    <w:rsid w:val="00A4469D"/>
    <w:rsid w:val="00A61A30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611FD"/>
    <w:rsid w:val="00B843D5"/>
    <w:rsid w:val="00B84A2C"/>
    <w:rsid w:val="00B86BB9"/>
    <w:rsid w:val="00B93053"/>
    <w:rsid w:val="00B969A9"/>
    <w:rsid w:val="00BA6CB0"/>
    <w:rsid w:val="00BD4355"/>
    <w:rsid w:val="00C0218A"/>
    <w:rsid w:val="00C03CA0"/>
    <w:rsid w:val="00C26983"/>
    <w:rsid w:val="00C443B6"/>
    <w:rsid w:val="00C765E2"/>
    <w:rsid w:val="00C80BD1"/>
    <w:rsid w:val="00C9168D"/>
    <w:rsid w:val="00C91EBC"/>
    <w:rsid w:val="00C9202F"/>
    <w:rsid w:val="00C95B57"/>
    <w:rsid w:val="00CB2842"/>
    <w:rsid w:val="00CD544A"/>
    <w:rsid w:val="00CF2618"/>
    <w:rsid w:val="00D450D3"/>
    <w:rsid w:val="00D70892"/>
    <w:rsid w:val="00D75B1E"/>
    <w:rsid w:val="00D81A9E"/>
    <w:rsid w:val="00D93BED"/>
    <w:rsid w:val="00D946C0"/>
    <w:rsid w:val="00D96562"/>
    <w:rsid w:val="00DB016F"/>
    <w:rsid w:val="00DD7F3E"/>
    <w:rsid w:val="00DE6A82"/>
    <w:rsid w:val="00E003E8"/>
    <w:rsid w:val="00E220AB"/>
    <w:rsid w:val="00E30D20"/>
    <w:rsid w:val="00E36957"/>
    <w:rsid w:val="00E44DD2"/>
    <w:rsid w:val="00E74F96"/>
    <w:rsid w:val="00E76956"/>
    <w:rsid w:val="00EA308A"/>
    <w:rsid w:val="00EA6B03"/>
    <w:rsid w:val="00EB7009"/>
    <w:rsid w:val="00EB7439"/>
    <w:rsid w:val="00EC1959"/>
    <w:rsid w:val="00F00240"/>
    <w:rsid w:val="00F34E51"/>
    <w:rsid w:val="00F4405C"/>
    <w:rsid w:val="00F508FB"/>
    <w:rsid w:val="00F550BF"/>
    <w:rsid w:val="00F57BD0"/>
    <w:rsid w:val="00F95DFF"/>
    <w:rsid w:val="00FC50CB"/>
    <w:rsid w:val="00FC7495"/>
    <w:rsid w:val="00FD0BE3"/>
    <w:rsid w:val="00FD2639"/>
    <w:rsid w:val="00FD477E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72A3"/>
  <w15:docId w15:val="{74BF5A9E-8A49-406B-AD7C-554D5DA0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5103</Words>
  <Characters>29090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39</cp:revision>
  <cp:lastPrinted>2025-05-14T05:04:00Z</cp:lastPrinted>
  <dcterms:created xsi:type="dcterms:W3CDTF">2024-07-18T05:53:00Z</dcterms:created>
  <dcterms:modified xsi:type="dcterms:W3CDTF">2025-05-15T05:14:00Z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